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00" w:rsidRPr="00235300" w:rsidRDefault="00235300" w:rsidP="002353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Jenis–</w:t>
      </w:r>
      <w:r w:rsidRPr="00235300">
        <w:rPr>
          <w:b/>
          <w:sz w:val="28"/>
          <w:szCs w:val="28"/>
        </w:rPr>
        <w:t>Jenis Indikator Mutu Rumah Sakit: Haruskah RS Memiliki Semua Indikator Mutu RS?</w:t>
      </w:r>
    </w:p>
    <w:p w:rsidR="00235300" w:rsidRPr="00235300" w:rsidRDefault="00235300" w:rsidP="00235300">
      <w:pPr>
        <w:spacing w:before="0" w:after="120" w:line="240" w:lineRule="auto"/>
        <w:jc w:val="center"/>
        <w:rPr>
          <w:sz w:val="22"/>
          <w:szCs w:val="22"/>
        </w:rPr>
      </w:pPr>
      <w:r w:rsidRPr="00235300">
        <w:rPr>
          <w:sz w:val="22"/>
          <w:szCs w:val="22"/>
        </w:rPr>
        <w:t>dr. Hanevi Djasri, MARS</w:t>
      </w:r>
    </w:p>
    <w:p w:rsidR="00235300" w:rsidRPr="00235300" w:rsidRDefault="00235300" w:rsidP="00235300">
      <w:pPr>
        <w:spacing w:before="0" w:after="120" w:line="240" w:lineRule="auto"/>
        <w:jc w:val="center"/>
        <w:rPr>
          <w:sz w:val="22"/>
          <w:szCs w:val="22"/>
        </w:rPr>
      </w:pPr>
      <w:r w:rsidRPr="00235300">
        <w:rPr>
          <w:sz w:val="22"/>
          <w:szCs w:val="22"/>
        </w:rPr>
        <w:t>Anggota Kompartemen Mutu, Pengurus Pusat PERSI</w:t>
      </w:r>
    </w:p>
    <w:p w:rsidR="00D15707" w:rsidRPr="00235300" w:rsidRDefault="00D15707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D15707" w:rsidRPr="00235300" w:rsidRDefault="001F6EE8" w:rsidP="00235300">
      <w:pPr>
        <w:spacing w:before="0" w:after="120" w:line="240" w:lineRule="auto"/>
        <w:rPr>
          <w:rFonts w:eastAsia="Times New Roman"/>
          <w:b/>
          <w:sz w:val="22"/>
          <w:szCs w:val="22"/>
          <w:lang w:eastAsia="en-GB"/>
        </w:rPr>
      </w:pPr>
      <w:r w:rsidRPr="00235300">
        <w:rPr>
          <w:rFonts w:eastAsia="Times New Roman"/>
          <w:b/>
          <w:sz w:val="22"/>
          <w:szCs w:val="22"/>
          <w:lang w:eastAsia="en-GB"/>
        </w:rPr>
        <w:t xml:space="preserve">Intisari dari </w:t>
      </w:r>
      <w:r w:rsidR="00235300" w:rsidRPr="00235300">
        <w:rPr>
          <w:rFonts w:eastAsia="Times New Roman"/>
          <w:b/>
          <w:sz w:val="22"/>
          <w:szCs w:val="22"/>
          <w:lang w:eastAsia="en-GB"/>
        </w:rPr>
        <w:t>Artikel</w:t>
      </w:r>
      <w:r w:rsidRPr="00235300">
        <w:rPr>
          <w:rFonts w:eastAsia="Times New Roman"/>
          <w:b/>
          <w:sz w:val="22"/>
          <w:szCs w:val="22"/>
          <w:lang w:eastAsia="en-GB"/>
        </w:rPr>
        <w:t xml:space="preserve"> ini</w:t>
      </w:r>
    </w:p>
    <w:p w:rsidR="00D15707" w:rsidRPr="00235300" w:rsidRDefault="00D15707" w:rsidP="00235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Pimpinan </w:t>
      </w:r>
      <w:r w:rsidR="001F6EE8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RS harus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menetapkan indikator kunci untuk memonitor struktur, proses dan hasil (outcome) dari rencana peningkatan mutu pelayanan dan keselamatan pasien</w:t>
      </w:r>
      <w:r w:rsidR="00235300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di Rumah Sakit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.</w:t>
      </w:r>
      <w:r w:rsidR="001F6EE8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Meliputi upaya klinik (</w:t>
      </w:r>
      <w:r w:rsidR="001F6EE8" w:rsidRPr="00235300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en-GB"/>
        </w:rPr>
        <w:t>clinical care</w:t>
      </w:r>
      <w:r w:rsidR="001F6EE8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), manajemen dan sasaran internasional keselamatan pasien</w:t>
      </w:r>
    </w:p>
    <w:p w:rsidR="00D15707" w:rsidRPr="00235300" w:rsidRDefault="00D15707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D15707" w:rsidRPr="00235300" w:rsidRDefault="00235300" w:rsidP="00235300">
      <w:pPr>
        <w:spacing w:before="0" w:after="120" w:line="240" w:lineRule="auto"/>
        <w:rPr>
          <w:rFonts w:eastAsia="Times New Roman"/>
          <w:b/>
          <w:sz w:val="22"/>
          <w:szCs w:val="22"/>
          <w:lang w:eastAsia="en-GB"/>
        </w:rPr>
      </w:pPr>
      <w:r>
        <w:rPr>
          <w:rFonts w:eastAsia="Times New Roman"/>
          <w:b/>
          <w:sz w:val="22"/>
          <w:szCs w:val="22"/>
          <w:lang w:eastAsia="en-GB"/>
        </w:rPr>
        <w:t>Pendahuluan</w:t>
      </w:r>
    </w:p>
    <w:p w:rsidR="00D15707" w:rsidRPr="00235300" w:rsidRDefault="00D15707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Peningkatan mutu dan keselamatan pasien </w:t>
      </w:r>
      <w:r w:rsidR="001F6EE8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harus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dilakukan berdasarkan data. Penggunaan data secara efektif dapat dilakukan </w:t>
      </w:r>
      <w:r w:rsidR="001F6EE8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bila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praktek klinik dan praktek manajemen</w:t>
      </w:r>
      <w:r w:rsidR="001F6EE8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telah dijalankan berdasarkan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1F6EE8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evidence-based.</w:t>
      </w:r>
    </w:p>
    <w:p w:rsidR="001F6EE8" w:rsidRPr="00235300" w:rsidRDefault="001F6EE8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S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ebagian besar rumah sakit mempunyai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keterbatasan 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sumber daya terbatas,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sehingga RS tidak 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dapat mengumpulkan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semua 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data yang diinginkan.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RS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harus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menetapkan prioritas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proses dan hasil (outcome) praktek klinik dan manajemen yang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akan dinilai</w:t>
      </w:r>
      <w:r w:rsidR="00D15707" w:rsidRPr="00235300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en-GB"/>
        </w:rPr>
        <w:t xml:space="preserve"> 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dengan mengacu pada misi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RS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, kebutuhan pasien dan jenis pelayanan. </w:t>
      </w:r>
    </w:p>
    <w:p w:rsidR="004C3636" w:rsidRPr="00235300" w:rsidRDefault="001F6EE8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Prioritas ditetapkan berdasarkan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pada proses yang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ber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risiko tinggi, diberikan dalam volume besar atau cenderung menimbulkan masalah. Pimpinan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RS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bertanggung jawab menentukan pilihan terakhir dari indikator kunci yang digunakan dalam kegiatan peningkatan mutu. </w:t>
      </w:r>
    </w:p>
    <w:p w:rsidR="004C3636" w:rsidRPr="00235300" w:rsidRDefault="004C3636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D15707" w:rsidRPr="00235300" w:rsidRDefault="00D15707" w:rsidP="00235300">
      <w:pPr>
        <w:spacing w:before="0" w:after="120" w:line="240" w:lineRule="auto"/>
        <w:rPr>
          <w:rFonts w:eastAsia="Times New Roman"/>
          <w:b/>
          <w:sz w:val="22"/>
          <w:szCs w:val="22"/>
          <w:lang w:eastAsia="en-GB"/>
        </w:rPr>
      </w:pPr>
      <w:r w:rsidRPr="00235300">
        <w:rPr>
          <w:rFonts w:eastAsia="Times New Roman"/>
          <w:b/>
          <w:sz w:val="22"/>
          <w:szCs w:val="22"/>
          <w:lang w:eastAsia="en-GB"/>
        </w:rPr>
        <w:t xml:space="preserve">Pemilihan </w:t>
      </w:r>
      <w:r w:rsidR="00235300">
        <w:rPr>
          <w:rFonts w:eastAsia="Times New Roman"/>
          <w:b/>
          <w:sz w:val="22"/>
          <w:szCs w:val="22"/>
          <w:lang w:eastAsia="en-GB"/>
        </w:rPr>
        <w:t xml:space="preserve">Indikator </w:t>
      </w:r>
      <w:r w:rsidR="00235300" w:rsidRPr="00235300">
        <w:rPr>
          <w:rFonts w:eastAsia="Times New Roman"/>
          <w:b/>
          <w:sz w:val="22"/>
          <w:szCs w:val="22"/>
          <w:lang w:eastAsia="en-GB"/>
        </w:rPr>
        <w:t>Terkait Dengan Area Klinik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Asesmen </w:t>
      </w:r>
      <w:r w:rsidR="000938FD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pasien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Pelayanan laboratorium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Pelayanan radiologi dan </w:t>
      </w:r>
      <w:r w:rsidR="000938FD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pencitraan diagnostik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Prosedur bedah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Penggunaan antibiotika dan obat lainnya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Kesalahan medis (medication error) dan Kejadian Nyaris Cedera (KNC)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Anestesi dan penggunaan sedasi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Penggunaan darah dan produk darah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Ketersediaan, isi dan penggunaan catatan medik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Pencegahan dan </w:t>
      </w:r>
      <w:r w:rsidR="000938FD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pengendalian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infeksi, surveilans dan pelaporan</w:t>
      </w:r>
    </w:p>
    <w:p w:rsidR="00D15707" w:rsidRPr="00235300" w:rsidRDefault="00D15707" w:rsidP="00235300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Riset klinik</w:t>
      </w:r>
    </w:p>
    <w:p w:rsidR="00D15707" w:rsidRPr="00235300" w:rsidRDefault="00D15707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Paling sedikit 5 penilaian terhadap upaya klinik </w:t>
      </w:r>
      <w:r w:rsidR="004C3636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tersebut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harus dipilih dari indikator yang ditetapkan </w:t>
      </w:r>
      <w:r w:rsidR="004C3636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oleh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the Joint Commission In</w:t>
      </w:r>
      <w:r w:rsidR="004C3636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ternational Library of Measures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. </w:t>
      </w:r>
    </w:p>
    <w:p w:rsidR="004C3636" w:rsidRPr="00235300" w:rsidRDefault="004C3636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235300" w:rsidRDefault="00235300" w:rsidP="00235300">
      <w:pPr>
        <w:spacing w:before="0" w:after="120" w:line="240" w:lineRule="auto"/>
        <w:rPr>
          <w:rFonts w:eastAsia="Times New Roman"/>
          <w:b/>
          <w:sz w:val="22"/>
          <w:szCs w:val="22"/>
          <w:lang w:eastAsia="en-GB"/>
        </w:rPr>
      </w:pPr>
    </w:p>
    <w:p w:rsidR="00D15707" w:rsidRPr="00235300" w:rsidRDefault="00235300" w:rsidP="00235300">
      <w:pPr>
        <w:spacing w:before="0" w:after="120" w:line="240" w:lineRule="auto"/>
        <w:rPr>
          <w:rFonts w:eastAsia="Times New Roman"/>
          <w:b/>
          <w:sz w:val="22"/>
          <w:szCs w:val="22"/>
          <w:lang w:eastAsia="en-GB"/>
        </w:rPr>
      </w:pPr>
      <w:r w:rsidRPr="00235300">
        <w:rPr>
          <w:rFonts w:eastAsia="Times New Roman"/>
          <w:b/>
          <w:sz w:val="22"/>
          <w:szCs w:val="22"/>
          <w:lang w:eastAsia="en-GB"/>
        </w:rPr>
        <w:lastRenderedPageBreak/>
        <w:t xml:space="preserve">Pemilihan </w:t>
      </w:r>
      <w:r w:rsidR="00D15707" w:rsidRPr="00235300">
        <w:rPr>
          <w:rFonts w:eastAsia="Times New Roman"/>
          <w:b/>
          <w:sz w:val="22"/>
          <w:szCs w:val="22"/>
          <w:lang w:eastAsia="en-GB"/>
        </w:rPr>
        <w:t xml:space="preserve">Indikator </w:t>
      </w:r>
      <w:r w:rsidRPr="00235300">
        <w:rPr>
          <w:rFonts w:eastAsia="Times New Roman"/>
          <w:b/>
          <w:sz w:val="22"/>
          <w:szCs w:val="22"/>
          <w:lang w:eastAsia="en-GB"/>
        </w:rPr>
        <w:t>Terkait Dengan Upaya Manajemen</w:t>
      </w:r>
    </w:p>
    <w:p w:rsidR="00D15707" w:rsidRPr="00235300" w:rsidRDefault="00D15707" w:rsidP="00235300">
      <w:pPr>
        <w:pStyle w:val="ListParagraph"/>
        <w:numPr>
          <w:ilvl w:val="0"/>
          <w:numId w:val="9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Pengadaan rutin peralatan kesehatan dan obat untuk memnuhi kebutuhan pasien</w:t>
      </w:r>
    </w:p>
    <w:p w:rsidR="00D15707" w:rsidRPr="00235300" w:rsidRDefault="00D15707" w:rsidP="00235300">
      <w:pPr>
        <w:pStyle w:val="ListParagraph"/>
        <w:numPr>
          <w:ilvl w:val="0"/>
          <w:numId w:val="9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Pelaporan yang diwajibkan oleh peraturan perundang-undangan</w:t>
      </w:r>
    </w:p>
    <w:p w:rsidR="00D15707" w:rsidRPr="00235300" w:rsidRDefault="00D15707" w:rsidP="00235300">
      <w:pPr>
        <w:pStyle w:val="ListParagraph"/>
        <w:numPr>
          <w:ilvl w:val="0"/>
          <w:numId w:val="9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Manajemen risiko</w:t>
      </w:r>
    </w:p>
    <w:p w:rsidR="00D15707" w:rsidRPr="00235300" w:rsidRDefault="00D15707" w:rsidP="00235300">
      <w:pPr>
        <w:pStyle w:val="ListParagraph"/>
        <w:numPr>
          <w:ilvl w:val="0"/>
          <w:numId w:val="9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Manejemen penggunaan sumber daya</w:t>
      </w:r>
    </w:p>
    <w:p w:rsidR="00D15707" w:rsidRPr="00235300" w:rsidRDefault="00D15707" w:rsidP="00235300">
      <w:pPr>
        <w:pStyle w:val="ListParagraph"/>
        <w:numPr>
          <w:ilvl w:val="0"/>
          <w:numId w:val="9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Harapan dan kepuasan pasien dan keluarga</w:t>
      </w:r>
    </w:p>
    <w:p w:rsidR="00D15707" w:rsidRPr="00235300" w:rsidRDefault="00D15707" w:rsidP="00235300">
      <w:pPr>
        <w:pStyle w:val="ListParagraph"/>
        <w:numPr>
          <w:ilvl w:val="0"/>
          <w:numId w:val="9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Harapan dan kepuasan staf</w:t>
      </w:r>
    </w:p>
    <w:p w:rsidR="00D15707" w:rsidRPr="00235300" w:rsidRDefault="00D15707" w:rsidP="00235300">
      <w:pPr>
        <w:pStyle w:val="ListParagraph"/>
        <w:numPr>
          <w:ilvl w:val="0"/>
          <w:numId w:val="9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Demografi pasien dan diagnosis klinik</w:t>
      </w:r>
    </w:p>
    <w:p w:rsidR="00D15707" w:rsidRPr="00235300" w:rsidRDefault="00D15707" w:rsidP="00235300">
      <w:pPr>
        <w:pStyle w:val="ListParagraph"/>
        <w:numPr>
          <w:ilvl w:val="0"/>
          <w:numId w:val="9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Manajemen keuangan dan</w:t>
      </w:r>
    </w:p>
    <w:p w:rsidR="00D15707" w:rsidRPr="00235300" w:rsidRDefault="00D15707" w:rsidP="00235300">
      <w:pPr>
        <w:pStyle w:val="ListParagraph"/>
        <w:numPr>
          <w:ilvl w:val="0"/>
          <w:numId w:val="9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Pencegahan dan pengendalian dari kejadian yang dapat menimbulkan masalah bagi keselamatan pasien, keluarga pasien dan staf</w:t>
      </w:r>
    </w:p>
    <w:p w:rsidR="000938FD" w:rsidRPr="00235300" w:rsidRDefault="000938FD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0938FD" w:rsidRPr="00235300" w:rsidRDefault="00235300" w:rsidP="00235300">
      <w:pPr>
        <w:spacing w:before="0" w:after="120" w:line="240" w:lineRule="auto"/>
        <w:rPr>
          <w:rFonts w:eastAsia="Times New Roman"/>
          <w:b/>
          <w:sz w:val="22"/>
          <w:szCs w:val="22"/>
          <w:lang w:eastAsia="en-GB"/>
        </w:rPr>
      </w:pPr>
      <w:r w:rsidRPr="00235300">
        <w:rPr>
          <w:rFonts w:eastAsia="Times New Roman"/>
          <w:b/>
          <w:sz w:val="22"/>
          <w:szCs w:val="22"/>
          <w:lang w:eastAsia="en-GB"/>
        </w:rPr>
        <w:t>Pemilihan Indikator Terkait Sasaran Internasional Keselamatan Pasien</w:t>
      </w:r>
    </w:p>
    <w:p w:rsidR="000938FD" w:rsidRPr="00235300" w:rsidRDefault="000938FD" w:rsidP="00235300">
      <w:pPr>
        <w:pStyle w:val="ListParagraph"/>
        <w:numPr>
          <w:ilvl w:val="0"/>
          <w:numId w:val="10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Mengidentifikasi Pasien Dengan Benar</w:t>
      </w:r>
    </w:p>
    <w:p w:rsidR="000938FD" w:rsidRPr="00235300" w:rsidRDefault="000938FD" w:rsidP="00235300">
      <w:pPr>
        <w:pStyle w:val="ListParagraph"/>
        <w:numPr>
          <w:ilvl w:val="0"/>
          <w:numId w:val="10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Meningkatkan Komunikasi Yang Efektif</w:t>
      </w:r>
    </w:p>
    <w:p w:rsidR="000938FD" w:rsidRPr="00235300" w:rsidRDefault="000938FD" w:rsidP="00235300">
      <w:pPr>
        <w:pStyle w:val="ListParagraph"/>
        <w:numPr>
          <w:ilvl w:val="0"/>
          <w:numId w:val="10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Meningkatkan Keamanan Obat-obatan Yang Harus Diwaspadai</w:t>
      </w:r>
    </w:p>
    <w:p w:rsidR="000938FD" w:rsidRPr="00235300" w:rsidRDefault="000938FD" w:rsidP="00235300">
      <w:pPr>
        <w:pStyle w:val="ListParagraph"/>
        <w:numPr>
          <w:ilvl w:val="0"/>
          <w:numId w:val="10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Memastikan Lokasi Pembedahan Yang Benar, Prosedur Yang Benar, Pembedahan Pada Pasien Yang Benar</w:t>
      </w:r>
    </w:p>
    <w:p w:rsidR="000938FD" w:rsidRPr="00235300" w:rsidRDefault="000938FD" w:rsidP="00235300">
      <w:pPr>
        <w:pStyle w:val="ListParagraph"/>
        <w:numPr>
          <w:ilvl w:val="0"/>
          <w:numId w:val="10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Mengurangi Risiko Infeksi Akibat Perawatan Kesehatan</w:t>
      </w:r>
    </w:p>
    <w:p w:rsidR="000938FD" w:rsidRPr="00235300" w:rsidRDefault="000938FD" w:rsidP="00235300">
      <w:pPr>
        <w:pStyle w:val="ListParagraph"/>
        <w:numPr>
          <w:ilvl w:val="0"/>
          <w:numId w:val="10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Mengurangi Risiko Cedera Pasien Akibat Terjatuh</w:t>
      </w:r>
    </w:p>
    <w:p w:rsidR="000938FD" w:rsidRPr="00235300" w:rsidRDefault="000938FD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0938FD" w:rsidRPr="00235300" w:rsidRDefault="00235300" w:rsidP="00235300">
      <w:pPr>
        <w:spacing w:before="0" w:after="120" w:line="240" w:lineRule="auto"/>
        <w:rPr>
          <w:rFonts w:eastAsia="Times New Roman"/>
          <w:b/>
          <w:sz w:val="22"/>
          <w:szCs w:val="22"/>
          <w:lang w:eastAsia="en-GB"/>
        </w:rPr>
      </w:pPr>
      <w:r w:rsidRPr="00235300">
        <w:rPr>
          <w:rFonts w:eastAsia="Times New Roman"/>
          <w:b/>
          <w:sz w:val="22"/>
          <w:szCs w:val="22"/>
          <w:lang w:eastAsia="en-GB"/>
        </w:rPr>
        <w:t>Kamus Indikator</w:t>
      </w:r>
    </w:p>
    <w:p w:rsidR="00D15707" w:rsidRPr="00235300" w:rsidRDefault="00D15707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Pimpinan rumah sakit bertanggung jawab </w:t>
      </w:r>
      <w:r w:rsidR="00E02015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menetapkan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target dari </w:t>
      </w:r>
      <w:r w:rsidR="00E02015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indikator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yang akan dinilai. </w:t>
      </w:r>
      <w:r w:rsidR="00E02015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Lebih lanjut p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impinan </w:t>
      </w:r>
      <w:r w:rsidR="00E02015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juga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menetapkan:</w:t>
      </w:r>
    </w:p>
    <w:p w:rsidR="00D15707" w:rsidRPr="00235300" w:rsidRDefault="00E02015" w:rsidP="00235300">
      <w:pPr>
        <w:pStyle w:val="ListParagraph"/>
        <w:numPr>
          <w:ilvl w:val="0"/>
          <w:numId w:val="1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Judul indikator p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roses, prosedur atau hasil (outcome) yang akan dinilai</w:t>
      </w:r>
    </w:p>
    <w:p w:rsidR="00D15707" w:rsidRPr="00235300" w:rsidRDefault="00E02015" w:rsidP="00235300">
      <w:pPr>
        <w:pStyle w:val="ListParagraph"/>
        <w:numPr>
          <w:ilvl w:val="0"/>
          <w:numId w:val="1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Evidence based (literatur) yang 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mendukung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pentingnya indikator tersebut dinilai</w:t>
      </w:r>
    </w:p>
    <w:p w:rsidR="00D15707" w:rsidRPr="00235300" w:rsidRDefault="00D15707" w:rsidP="00235300">
      <w:pPr>
        <w:pStyle w:val="ListParagraph"/>
        <w:numPr>
          <w:ilvl w:val="0"/>
          <w:numId w:val="1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Bagaimana</w:t>
      </w:r>
      <w:r w:rsidR="00E02015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cara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penilaian dilakukan</w:t>
      </w:r>
      <w:r w:rsidR="00E02015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(termasuk penetapan penggunaan semua kasus atau dengan sampel)</w:t>
      </w:r>
    </w:p>
    <w:p w:rsidR="00D15707" w:rsidRPr="00235300" w:rsidRDefault="00E02015" w:rsidP="00235300">
      <w:pPr>
        <w:pStyle w:val="ListParagraph"/>
        <w:numPr>
          <w:ilvl w:val="0"/>
          <w:numId w:val="1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Keterkaitan antara indikator dengan program </w:t>
      </w:r>
      <w:r w:rsidR="00D15707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peningkat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an mutu dan keselamatan pasien</w:t>
      </w:r>
    </w:p>
    <w:p w:rsidR="00D15707" w:rsidRPr="00235300" w:rsidRDefault="00D15707" w:rsidP="00235300">
      <w:pPr>
        <w:pStyle w:val="ListParagraph"/>
        <w:numPr>
          <w:ilvl w:val="0"/>
          <w:numId w:val="1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Jadwal dan frekuensi dari penilaian</w:t>
      </w:r>
    </w:p>
    <w:p w:rsidR="00D15707" w:rsidRPr="00235300" w:rsidRDefault="00D15707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D15707" w:rsidRPr="00235300" w:rsidRDefault="004C3636" w:rsidP="00235300">
      <w:pPr>
        <w:spacing w:before="0" w:after="120" w:line="240" w:lineRule="auto"/>
        <w:rPr>
          <w:rFonts w:eastAsia="Times New Roman"/>
          <w:b/>
          <w:sz w:val="22"/>
          <w:szCs w:val="22"/>
          <w:lang w:eastAsia="en-GB"/>
        </w:rPr>
      </w:pPr>
      <w:r w:rsidRPr="00235300">
        <w:rPr>
          <w:rFonts w:eastAsia="Times New Roman"/>
          <w:b/>
          <w:sz w:val="22"/>
          <w:szCs w:val="22"/>
          <w:lang w:eastAsia="en-GB"/>
        </w:rPr>
        <w:t xml:space="preserve">Yang harus dibuktikan oleh </w:t>
      </w:r>
      <w:r w:rsidR="00235300" w:rsidRPr="00235300">
        <w:rPr>
          <w:rFonts w:eastAsia="Times New Roman"/>
          <w:b/>
          <w:sz w:val="22"/>
          <w:szCs w:val="22"/>
          <w:lang w:eastAsia="en-GB"/>
        </w:rPr>
        <w:t>RS</w:t>
      </w:r>
      <w:r w:rsidR="00B1664A" w:rsidRPr="00235300">
        <w:rPr>
          <w:rFonts w:eastAsia="Times New Roman"/>
          <w:b/>
          <w:sz w:val="22"/>
          <w:szCs w:val="22"/>
          <w:lang w:eastAsia="en-GB"/>
        </w:rPr>
        <w:t>: secara umum</w:t>
      </w:r>
    </w:p>
    <w:p w:rsidR="00D15707" w:rsidRPr="00235300" w:rsidRDefault="00D15707" w:rsidP="00235300">
      <w:pPr>
        <w:pStyle w:val="ListParagraph"/>
        <w:numPr>
          <w:ilvl w:val="0"/>
          <w:numId w:val="4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Pimpinan rumah sakit menetapkan </w:t>
      </w:r>
      <w:r w:rsidR="00B1664A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area prioritas 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untuk penilaian dan peningkatan</w:t>
      </w:r>
      <w:r w:rsidRPr="00235300">
        <w:rPr>
          <w:rFonts w:ascii="Calibri" w:eastAsia="Times New Roman" w:hAnsi="Calibri" w:cs="Calibri"/>
          <w:strike/>
          <w:color w:val="000000" w:themeColor="text1"/>
          <w:sz w:val="22"/>
          <w:szCs w:val="22"/>
          <w:lang w:eastAsia="en-GB"/>
        </w:rPr>
        <w:t>.</w:t>
      </w:r>
    </w:p>
    <w:p w:rsidR="00D15707" w:rsidRPr="00235300" w:rsidRDefault="00D15707" w:rsidP="00235300">
      <w:pPr>
        <w:pStyle w:val="ListParagraph"/>
        <w:numPr>
          <w:ilvl w:val="0"/>
          <w:numId w:val="4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Penilaian merupakan bagian dari program peningkatan mutu dan keselamatan pasien</w:t>
      </w:r>
    </w:p>
    <w:p w:rsidR="00D15707" w:rsidRPr="00235300" w:rsidRDefault="00D15707" w:rsidP="00235300">
      <w:pPr>
        <w:pStyle w:val="ListParagraph"/>
        <w:numPr>
          <w:ilvl w:val="0"/>
          <w:numId w:val="4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Hasil penilaian disampaikan kepada pihak terkait dalam mekanisme pengawasan dan secara berkala kepada pimpinan dan pemilik rumah sakit sesuai struktur rumah sakit yang berlaku.</w:t>
      </w:r>
    </w:p>
    <w:p w:rsidR="00D15707" w:rsidRPr="00235300" w:rsidRDefault="00D15707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D15707" w:rsidRPr="00235300" w:rsidRDefault="00B1664A" w:rsidP="00235300">
      <w:pPr>
        <w:spacing w:before="0" w:after="120" w:line="240" w:lineRule="auto"/>
        <w:rPr>
          <w:rFonts w:eastAsia="Times New Roman"/>
          <w:b/>
          <w:sz w:val="22"/>
          <w:szCs w:val="22"/>
          <w:lang w:eastAsia="en-GB"/>
        </w:rPr>
      </w:pPr>
      <w:r w:rsidRPr="00235300">
        <w:rPr>
          <w:rFonts w:eastAsia="Times New Roman"/>
          <w:b/>
          <w:sz w:val="22"/>
          <w:szCs w:val="22"/>
          <w:lang w:eastAsia="en-GB"/>
        </w:rPr>
        <w:lastRenderedPageBreak/>
        <w:t xml:space="preserve">Yang </w:t>
      </w:r>
      <w:r w:rsidR="00235300" w:rsidRPr="00235300">
        <w:rPr>
          <w:rFonts w:eastAsia="Times New Roman"/>
          <w:b/>
          <w:sz w:val="22"/>
          <w:szCs w:val="22"/>
          <w:lang w:eastAsia="en-GB"/>
        </w:rPr>
        <w:t xml:space="preserve">Harus Dibuktikan Oleh </w:t>
      </w:r>
      <w:r w:rsidRPr="00235300">
        <w:rPr>
          <w:rFonts w:eastAsia="Times New Roman"/>
          <w:b/>
          <w:sz w:val="22"/>
          <w:szCs w:val="22"/>
          <w:lang w:eastAsia="en-GB"/>
        </w:rPr>
        <w:t>RS</w:t>
      </w:r>
      <w:r w:rsidR="00235300" w:rsidRPr="00235300">
        <w:rPr>
          <w:rFonts w:eastAsia="Times New Roman"/>
          <w:b/>
          <w:sz w:val="22"/>
          <w:szCs w:val="22"/>
          <w:lang w:eastAsia="en-GB"/>
        </w:rPr>
        <w:t>: Untuk Setiap Area Indikator</w:t>
      </w:r>
    </w:p>
    <w:p w:rsidR="00D15707" w:rsidRPr="00235300" w:rsidRDefault="00D15707" w:rsidP="00235300">
      <w:pPr>
        <w:pStyle w:val="ListParagraph"/>
        <w:numPr>
          <w:ilvl w:val="0"/>
          <w:numId w:val="5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Pimpinan klinis menetapkan indikator kunci untuk setiap area klinis</w:t>
      </w:r>
      <w:r w:rsidR="00B1664A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, manajemen dan sasaran internasional keselamatan pasien</w:t>
      </w:r>
    </w:p>
    <w:p w:rsidR="00D15707" w:rsidRPr="00235300" w:rsidRDefault="00D15707" w:rsidP="00235300">
      <w:pPr>
        <w:pStyle w:val="ListParagraph"/>
        <w:numPr>
          <w:ilvl w:val="0"/>
          <w:numId w:val="5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Paling sedikit 5 dari 11 indikator klinis harus dipilih dari JCI Libary</w:t>
      </w:r>
    </w:p>
    <w:p w:rsidR="00D15707" w:rsidRPr="00235300" w:rsidRDefault="00D15707" w:rsidP="00235300">
      <w:pPr>
        <w:pStyle w:val="ListParagraph"/>
        <w:numPr>
          <w:ilvl w:val="0"/>
          <w:numId w:val="5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Pimpinan rumah sakit memperhatikan </w:t>
      </w:r>
      <w:r w:rsidRPr="00235300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en-GB"/>
        </w:rPr>
        <w:t>evidence</w:t>
      </w:r>
      <w:r w:rsidR="00E02015" w:rsidRPr="00235300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en-GB"/>
        </w:rPr>
        <w:t xml:space="preserve"> based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untuk mendukung setiap indikator yang dipilih</w:t>
      </w:r>
      <w:r w:rsid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(bisa diambil dari SPM RS. Lihat lampiran)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.</w:t>
      </w:r>
    </w:p>
    <w:p w:rsidR="00D15707" w:rsidRPr="00235300" w:rsidRDefault="00D15707" w:rsidP="00235300">
      <w:pPr>
        <w:pStyle w:val="ListParagraph"/>
        <w:numPr>
          <w:ilvl w:val="0"/>
          <w:numId w:val="5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Penilaian mencakup struktur, proses dan hasil (outcome)</w:t>
      </w:r>
    </w:p>
    <w:p w:rsidR="00D15707" w:rsidRPr="00235300" w:rsidRDefault="00D15707" w:rsidP="00235300">
      <w:pPr>
        <w:pStyle w:val="ListParagraph"/>
        <w:numPr>
          <w:ilvl w:val="0"/>
          <w:numId w:val="5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Cakupan, metodologi dan frekuensi ditetapkan untuk setiap indikator  </w:t>
      </w:r>
    </w:p>
    <w:p w:rsidR="00D15707" w:rsidRDefault="00D15707" w:rsidP="00235300">
      <w:pPr>
        <w:pStyle w:val="ListParagraph"/>
        <w:numPr>
          <w:ilvl w:val="0"/>
          <w:numId w:val="5"/>
        </w:numPr>
        <w:spacing w:before="0" w:after="120" w:line="240" w:lineRule="auto"/>
        <w:contextualSpacing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Data penilaian </w:t>
      </w:r>
      <w:r w:rsidR="00B1664A"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indikator</w:t>
      </w: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dikumpulkan dan digunakan untuk melakukan evaluasi terhadap efektivitas dari peningkatan </w:t>
      </w:r>
    </w:p>
    <w:p w:rsidR="00235300" w:rsidRDefault="00235300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br w:type="page"/>
      </w:r>
    </w:p>
    <w:p w:rsidR="00235300" w:rsidRDefault="00235300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lastRenderedPageBreak/>
        <w:t>Lampiran 1: Daftar Indikator dalam SPM-RS</w:t>
      </w:r>
    </w:p>
    <w:p w:rsidR="00532285" w:rsidRDefault="00532285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Kemampuan menangani life saving anak dan dewasa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Jam buka Pelayanan Gawat Darurat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Pemberi pelayanan kegawat daruratan yang bersertifikat yang masih berlaku ATLS/BTLS/ACLS/PPGD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Ketersediaan tim penanggulangan bencana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Waktu tanggap pelayanan Dokter  di Gawat Darurat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Kepuasan Pelanggan Gawat Darurat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Kematian pasien ≤ 24 Jam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Khusus untuk RS Jiwa Pasien dapat ditenangkan dalam waktu ≤ 48 Jam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pasien yang diharuskan membayar uang muka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Dokter pemberi Pelayanan di Poliklinik Spesialis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Ketersediaan Pelayanan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Ketersediaan Pelayanan di RS Jiwa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Jam buka pelayanan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Waktu tunggu di rawat jalan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Kepuasan Pelanggan Rawat Jalan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Penegakan diagnosis TB melalui pemeriksaan mikroskopis TB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Terlaksananya kegiatan pencatatan dan pelaporan TB di rumahsakit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Pemberi pelayanan di Rawat Inap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Dokter penanggung jawab pasien rawat inap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Ketersediaan Pelayanan Rawat Inap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Jam Visite Dokter Spesialis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Kejadian infeksi pasca operasi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Kejadian Infeksi Nosokomial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kejadian Pasien jatuh yang berakibat kecacatan /kematian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Kematian pasien &gt; 48 jam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Kejadian pulang paksa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Kepuasan pelanggan Rawat Inap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Ketersediaan pelayanan rawat inap di rumahsakit yang memberikan pelayanan jiwa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kejadian kematian pasien gangguan jiwa karena bunuh diri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Kejadian re-admission pasien gangguan jiwa dalam waktu ≤ 1 bulan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Lama hari perawatan pasien gangguan jiwa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Waktu tunggu operasi elektif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Kejadian Kematian di meja operasi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lastRenderedPageBreak/>
        <w:t xml:space="preserve">Tidak adanya kejadian operasi salah sisi 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Tidak adanya kejadian operasi salah orang 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kejadian salah tindakan pada operasi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kejadian tertinggalnya benda asing/lain pada tubuh pasien setelah operasi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Komplikasi anestesi karena overdosis, reaksi anestesi, dan salah penempatan endotracheal tube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Kejadian kematian ibu karena persalinan 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Pemberi pelayanan persalinan normal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Pemberi pelayanan persalinan dengan penyulit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Pemberi pelayanan persalinan dengan tindakan operasi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Kemampuan menangani BBLR 1500 gr  -  2500 gr 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Pertolongan Persalinan melalui seksio cesaria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Presentase KB (vasektomi &amp; tubektomi) yang dilakukan oleh tenaga kompeten dr. SpOG, dr. Sp.B, dr. SP.U, dokter umum terlatih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Presentasi peserta KB mantap yang mendapat konseling KB mantap oleh bidan terlatih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Kepuasan Pelanggan Kamar Bersalin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Rata-rata Pasien yang kembali ke perawatan intensif dengan kasus yang sama &lt; 72 jam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Pemberi pelayanan Unit Intensif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Waktu tunggu hasil pelayanan thorax foto 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Pelaksana ekspertisi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Kejadian kegagalan pelayanan Rontgen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Kepuasan pelanggan Radiologi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Waktu tunggu hasil pelayanan laboratorium.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Pelaksana ekspertisi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kesalahan pemberian hasil pemeriksaan laboratorium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Kepuasan pelanggan Laboratorium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Kejadian Drop Out pasien terhadap pelayanan Rehabilitasi Medik yang direncanakan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kejadian kesalahan tindakan rehabilitasi medik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Kepuasan Pelanggan Rehabilitasi Medik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Waktu tunggu pelayanan Obat Jadi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Waktu tunggu pelayanan Obat Racikan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Kejadian kesalahan pemberian obat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Kepuasan pelanggan Farmasi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Penulisan resep sesuai formularium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Ketepatan waktu pemberian makanan kepada pasien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Sisa makanan yang tidak termakan oleh pasien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kejadian kesalahan pemberian diet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lastRenderedPageBreak/>
        <w:t xml:space="preserve">Kebutuhan darah bagi setiap pelayanan transfusi 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Kejadian Reaksi transfusi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Pelayanan terhadap pasien GAKIN yang datang ke RS pada setiap unit pelayanan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Kelengkapan pengisian rekam medik 24 jam setelah selesai pelayanan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Kelengkapan Informed Concent setelah mendapatkan informasi yang jelas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Waktu penyediaan dokumen rekam medik pelayanan rawat jalan 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Waktu penyediaan dokumen rekam medik pelayanan rawat inap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Baku mutu limbah cair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Pengelolaan limbah padat infeksius sesuai dengan aturan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Tindak lanjut penyelesaian hasil pertemuan direksi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Kelengkapan laporan akuntabilitas kinerja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Ketepagtan waktu pengusulan kenaikan pangkat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Ketepatan waktu pengurusan gaji berkala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Karyawan yang mendapat pelatihan minimal 20 jam setahun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Cost recovery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Ketepatan waktu penyusunan laporan keuangan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Kecepatan waktu pemberian informasi tentang tagihan pasien rawat inap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Ketepatan waktu pemberian imbalan (insentif) sesuai kesepakatan waktu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Waktu pelayanan  ambulance/Kereta Jenazah 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Kecepatan memberikan pelayanan ambulance /Kereta Jenazah di Rumah Sakit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Response time pelayanan ambulance oleh masyarakat yang membutuhkan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Waktu tanggap (response time) pelayanan pemulasaraan jenazah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Kecepatan waktu menangapi kerusakan alat 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Ketepatan waktu pemeliharaan alat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Peralatan Laboratorium dan alat ukur yang digunakan dalam pelayanan terkalibrasi tepat waktu sesuai dengan ketentuan kalibrasi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Tidak adanya kejadian linen yang hilang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Ketepatan waktu penyediaan linen untuk ruang rawat inap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Ada anggota tim PPI yang terlatih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Tersedia APD di setiap instalasi/departement</w:t>
      </w:r>
    </w:p>
    <w:p w:rsidR="00235300" w:rsidRPr="00235300" w:rsidRDefault="00235300" w:rsidP="00532285">
      <w:pPr>
        <w:pStyle w:val="ListParagraph"/>
        <w:numPr>
          <w:ilvl w:val="0"/>
          <w:numId w:val="15"/>
        </w:numPr>
        <w:spacing w:before="0" w:after="120" w:line="240" w:lineRule="auto"/>
        <w:ind w:left="360"/>
        <w:contextualSpacing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Kegiatan pencatatan dan pelaporan infeksi nosikomial/HAI (health care associated infections) di rumahsakit (minimum 1 parameter)</w:t>
      </w:r>
    </w:p>
    <w:p w:rsidR="00D15707" w:rsidRPr="00235300" w:rsidRDefault="00D15707" w:rsidP="00235300">
      <w:pPr>
        <w:spacing w:before="0" w:after="120" w:line="24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:rsidR="00B1664A" w:rsidRPr="00235300" w:rsidRDefault="00B1664A" w:rsidP="00235300">
      <w:pPr>
        <w:spacing w:before="0" w:after="120" w:line="240" w:lineRule="auto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br w:type="page"/>
      </w:r>
    </w:p>
    <w:p w:rsidR="00D15707" w:rsidRPr="00235300" w:rsidRDefault="00235300" w:rsidP="00235300">
      <w:pPr>
        <w:pStyle w:val="Heading3"/>
        <w:spacing w:before="0" w:after="120" w:line="240" w:lineRule="auto"/>
        <w:rPr>
          <w:rFonts w:eastAsia="Times New Roman"/>
          <w:color w:val="000000" w:themeColor="text1"/>
          <w:lang w:eastAsia="en-GB"/>
        </w:rPr>
      </w:pPr>
      <w:r w:rsidRPr="00235300">
        <w:rPr>
          <w:rFonts w:eastAsia="Times New Roman"/>
          <w:color w:val="000000" w:themeColor="text1"/>
          <w:lang w:eastAsia="en-GB"/>
        </w:rPr>
        <w:lastRenderedPageBreak/>
        <w:t>LEMBAR WORKSHOP 1</w:t>
      </w:r>
      <w:r w:rsidR="00B1664A" w:rsidRPr="00235300">
        <w:rPr>
          <w:rFonts w:eastAsia="Times New Roman"/>
          <w:color w:val="000000" w:themeColor="text1"/>
          <w:lang w:eastAsia="en-GB"/>
        </w:rPr>
        <w:t>: pemilihan indikator klinis</w:t>
      </w:r>
    </w:p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t>Tetapkan indikator klinis yang akan anda usulkan untuk setiap area klinis berikut ini (contoh indikator klinis terdapat pada lampiran)</w:t>
      </w:r>
    </w:p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253"/>
      </w:tblGrid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  <w:t>Area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  <w:t>Indikator</w:t>
            </w: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Asesmen pasien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Pelayanan laboratorium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Pelayanan radiologi dan pencitraan diagnostik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Prosedur bedah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Penggunaan antibiotika dan obat lainnya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Kesalahan medis (medication error) dan Kejadian Nyaris Cedera (KNC)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Anestesi dan penggunaan sedasi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Penggunaan darah dan produk darah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Ketersediaan, isi dan penggunaan catatan medik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Pencegahan dan pengendalian infeksi, surveilans dan pelaporan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89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Riset klinik</w:t>
            </w:r>
          </w:p>
        </w:tc>
        <w:tc>
          <w:tcPr>
            <w:tcW w:w="4253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p w:rsidR="00B1664A" w:rsidRPr="00235300" w:rsidRDefault="00B1664A" w:rsidP="00235300">
      <w:pPr>
        <w:spacing w:before="0" w:after="120" w:line="240" w:lineRule="auto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br w:type="page"/>
      </w:r>
    </w:p>
    <w:p w:rsidR="00B1664A" w:rsidRPr="00235300" w:rsidRDefault="00235300" w:rsidP="00235300">
      <w:pPr>
        <w:pStyle w:val="Heading3"/>
        <w:spacing w:before="0" w:after="120" w:line="240" w:lineRule="auto"/>
        <w:rPr>
          <w:rFonts w:eastAsia="Times New Roman"/>
          <w:color w:val="000000" w:themeColor="text1"/>
          <w:lang w:eastAsia="en-GB"/>
        </w:rPr>
      </w:pPr>
      <w:r w:rsidRPr="00235300">
        <w:rPr>
          <w:rFonts w:eastAsia="Times New Roman"/>
          <w:color w:val="000000" w:themeColor="text1"/>
          <w:lang w:eastAsia="en-GB"/>
        </w:rPr>
        <w:lastRenderedPageBreak/>
        <w:t>LEMBAR WORKSHOP 2:</w:t>
      </w:r>
      <w:r w:rsidR="00B1664A" w:rsidRPr="00235300">
        <w:rPr>
          <w:rFonts w:eastAsia="Times New Roman"/>
          <w:color w:val="000000" w:themeColor="text1"/>
          <w:lang w:eastAsia="en-GB"/>
        </w:rPr>
        <w:t xml:space="preserve"> Pemilihan Indikator Manajemen</w:t>
      </w:r>
    </w:p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t>Tetapkan indikator manajemen yang akan anda usulkan untuk setiap area manajemen berikut ini (contoh indikator manajemen terdapat pada lampiran)</w:t>
      </w:r>
    </w:p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1"/>
        <w:gridCol w:w="4251"/>
      </w:tblGrid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  <w:t>Area Manajemen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  <w:t>Indikator</w:t>
            </w:r>
          </w:p>
        </w:tc>
      </w:tr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Pengadaan rutin peralatan kesehatan dan obat untuk memenuhi kebutuhan pasien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Pelaporan yang diwajibkan oleh peraturan perundang-undangan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Manajemen risiko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Manejemen penggunaan sumber daya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Harapan dan kepuasan pasien dan keluarga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Harapan dan kepuasan staf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Demografi pasien dan diagnosis klinik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Manajemen keuangan dan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1664A" w:rsidRPr="00235300" w:rsidTr="00B1664A">
        <w:tc>
          <w:tcPr>
            <w:tcW w:w="4991" w:type="dxa"/>
          </w:tcPr>
          <w:p w:rsidR="00B1664A" w:rsidRPr="00235300" w:rsidRDefault="00B1664A" w:rsidP="00235300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Pencegahan dan pengendalian dari kejadian yang dapat menimbulkan masalah bagi keselamatan pasien, keluarga pasien dan staf</w:t>
            </w:r>
          </w:p>
        </w:tc>
        <w:tc>
          <w:tcPr>
            <w:tcW w:w="4251" w:type="dxa"/>
          </w:tcPr>
          <w:p w:rsidR="00B1664A" w:rsidRPr="00235300" w:rsidRDefault="00B1664A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p w:rsidR="00B1664A" w:rsidRPr="00235300" w:rsidRDefault="00B1664A" w:rsidP="00235300">
      <w:pPr>
        <w:spacing w:before="0" w:after="120" w:line="240" w:lineRule="auto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br w:type="page"/>
      </w:r>
    </w:p>
    <w:p w:rsidR="00B1664A" w:rsidRPr="00235300" w:rsidRDefault="00235300" w:rsidP="00235300">
      <w:pPr>
        <w:pStyle w:val="Heading3"/>
        <w:spacing w:before="0" w:after="120" w:line="240" w:lineRule="auto"/>
        <w:rPr>
          <w:rFonts w:eastAsia="Times New Roman"/>
          <w:color w:val="000000" w:themeColor="text1"/>
          <w:lang w:eastAsia="en-GB"/>
        </w:rPr>
      </w:pPr>
      <w:r w:rsidRPr="00235300">
        <w:rPr>
          <w:rFonts w:eastAsia="Times New Roman"/>
          <w:color w:val="000000" w:themeColor="text1"/>
          <w:lang w:eastAsia="en-GB"/>
        </w:rPr>
        <w:lastRenderedPageBreak/>
        <w:t xml:space="preserve">LEMBAR WORKSHOP </w:t>
      </w:r>
      <w:r w:rsidR="00B1664A" w:rsidRPr="00235300">
        <w:rPr>
          <w:rFonts w:eastAsia="Times New Roman"/>
          <w:color w:val="000000" w:themeColor="text1"/>
          <w:lang w:eastAsia="en-GB"/>
        </w:rPr>
        <w:t>3: pemilihan indikator sasaran internasional keselamatan pasien</w:t>
      </w:r>
    </w:p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t>Tetapkan indikator SIKP yang akan anda usulkan untuk setiap area SIKP berikut ini (contoh indikator SIKP terdapat pada lampiran)</w:t>
      </w:r>
    </w:p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8"/>
        <w:gridCol w:w="4164"/>
      </w:tblGrid>
      <w:tr w:rsidR="00E973C6" w:rsidRPr="00235300" w:rsidTr="00E973C6">
        <w:tc>
          <w:tcPr>
            <w:tcW w:w="5078" w:type="dxa"/>
          </w:tcPr>
          <w:p w:rsidR="00E973C6" w:rsidRPr="00235300" w:rsidRDefault="00E973C6" w:rsidP="00235300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  <w:t>Sasaran Internasional Keselamatan Pasien</w:t>
            </w:r>
          </w:p>
        </w:tc>
        <w:tc>
          <w:tcPr>
            <w:tcW w:w="4164" w:type="dxa"/>
          </w:tcPr>
          <w:p w:rsidR="00E973C6" w:rsidRPr="00235300" w:rsidRDefault="00E973C6" w:rsidP="00235300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GB"/>
              </w:rPr>
              <w:t>Indikator</w:t>
            </w:r>
          </w:p>
        </w:tc>
      </w:tr>
      <w:tr w:rsidR="00E973C6" w:rsidRPr="00235300" w:rsidTr="00E973C6">
        <w:tc>
          <w:tcPr>
            <w:tcW w:w="5078" w:type="dxa"/>
          </w:tcPr>
          <w:p w:rsidR="00E973C6" w:rsidRPr="00235300" w:rsidRDefault="00E973C6" w:rsidP="00235300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Mengidentifikasi Pasien Dengan Benar</w:t>
            </w:r>
          </w:p>
        </w:tc>
        <w:tc>
          <w:tcPr>
            <w:tcW w:w="4164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E973C6">
        <w:tc>
          <w:tcPr>
            <w:tcW w:w="5078" w:type="dxa"/>
          </w:tcPr>
          <w:p w:rsidR="00E973C6" w:rsidRPr="00235300" w:rsidRDefault="00E973C6" w:rsidP="00235300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Meningkatkan Komunikasi Yang Efektif</w:t>
            </w:r>
          </w:p>
        </w:tc>
        <w:tc>
          <w:tcPr>
            <w:tcW w:w="4164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E973C6">
        <w:tc>
          <w:tcPr>
            <w:tcW w:w="5078" w:type="dxa"/>
          </w:tcPr>
          <w:p w:rsidR="00E973C6" w:rsidRPr="00235300" w:rsidRDefault="00E973C6" w:rsidP="00235300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Meningkatkan Keamanan Obat-obatan Yang Harus Diwaspadai</w:t>
            </w:r>
          </w:p>
        </w:tc>
        <w:tc>
          <w:tcPr>
            <w:tcW w:w="4164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E973C6">
        <w:tc>
          <w:tcPr>
            <w:tcW w:w="5078" w:type="dxa"/>
          </w:tcPr>
          <w:p w:rsidR="00E973C6" w:rsidRPr="00235300" w:rsidRDefault="00E973C6" w:rsidP="00235300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Memastikan Lokasi Pembedahan Yang Benar, Prosedur Yang Benar, Pembedahan Pada Pasien Yang Benar</w:t>
            </w:r>
          </w:p>
        </w:tc>
        <w:tc>
          <w:tcPr>
            <w:tcW w:w="4164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E973C6">
        <w:tc>
          <w:tcPr>
            <w:tcW w:w="5078" w:type="dxa"/>
          </w:tcPr>
          <w:p w:rsidR="00E973C6" w:rsidRPr="00235300" w:rsidRDefault="00E973C6" w:rsidP="00235300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Mengurangi Risiko Infeksi Akibat Perawatan Kesehatan</w:t>
            </w:r>
          </w:p>
        </w:tc>
        <w:tc>
          <w:tcPr>
            <w:tcW w:w="4164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E973C6">
        <w:tc>
          <w:tcPr>
            <w:tcW w:w="5078" w:type="dxa"/>
          </w:tcPr>
          <w:p w:rsidR="00E973C6" w:rsidRPr="00235300" w:rsidRDefault="00E973C6" w:rsidP="00235300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Mengurangi Risiko Cedera Pasien Akibat Terjatuh</w:t>
            </w:r>
          </w:p>
        </w:tc>
        <w:tc>
          <w:tcPr>
            <w:tcW w:w="4164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B1664A" w:rsidRPr="00235300" w:rsidRDefault="00B1664A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p w:rsidR="00E973C6" w:rsidRPr="00235300" w:rsidRDefault="00E973C6" w:rsidP="00235300">
      <w:pPr>
        <w:spacing w:before="0" w:after="120" w:line="240" w:lineRule="auto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br w:type="page"/>
      </w:r>
    </w:p>
    <w:p w:rsidR="00E973C6" w:rsidRPr="00235300" w:rsidRDefault="00235300" w:rsidP="00235300">
      <w:pPr>
        <w:pStyle w:val="Heading3"/>
        <w:spacing w:before="0" w:after="120" w:line="240" w:lineRule="auto"/>
        <w:rPr>
          <w:rFonts w:eastAsia="Times New Roman"/>
          <w:color w:val="000000" w:themeColor="text1"/>
          <w:lang w:eastAsia="en-GB"/>
        </w:rPr>
      </w:pPr>
      <w:r w:rsidRPr="00235300">
        <w:rPr>
          <w:rFonts w:eastAsia="Times New Roman"/>
          <w:color w:val="000000" w:themeColor="text1"/>
          <w:lang w:eastAsia="en-GB"/>
        </w:rPr>
        <w:lastRenderedPageBreak/>
        <w:t>LEMBAR WORKSHOP 4</w:t>
      </w:r>
      <w:r w:rsidR="00E973C6" w:rsidRPr="00235300">
        <w:rPr>
          <w:rFonts w:eastAsia="Times New Roman"/>
          <w:color w:val="000000" w:themeColor="text1"/>
          <w:lang w:eastAsia="en-GB"/>
        </w:rPr>
        <w:t>: menyusun kamus indikator</w:t>
      </w:r>
    </w:p>
    <w:p w:rsidR="00E973C6" w:rsidRPr="00235300" w:rsidRDefault="00E973C6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p w:rsidR="00E973C6" w:rsidRPr="00235300" w:rsidRDefault="00E973C6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t xml:space="preserve">Pilihlah salah satu indikator yang telah ada tuliskan pada </w:t>
      </w:r>
      <w:r w:rsidR="00235300"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t>lembar 1-3</w:t>
      </w:r>
      <w:r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t>, lalu tuliskan secara detail komponen indikator tersebut menjadi sebuah kamus indikator</w:t>
      </w:r>
    </w:p>
    <w:p w:rsidR="00E973C6" w:rsidRPr="00235300" w:rsidRDefault="00E973C6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282"/>
      </w:tblGrid>
      <w:tr w:rsidR="00E973C6" w:rsidRPr="00235300" w:rsidTr="00E973C6">
        <w:tc>
          <w:tcPr>
            <w:tcW w:w="4960" w:type="dxa"/>
          </w:tcPr>
          <w:p w:rsidR="00E973C6" w:rsidRPr="00235300" w:rsidRDefault="00E973C6" w:rsidP="00235300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Judul indikator</w:t>
            </w:r>
          </w:p>
        </w:tc>
        <w:tc>
          <w:tcPr>
            <w:tcW w:w="4282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E973C6">
        <w:tc>
          <w:tcPr>
            <w:tcW w:w="4960" w:type="dxa"/>
          </w:tcPr>
          <w:p w:rsidR="00E973C6" w:rsidRPr="00235300" w:rsidRDefault="00E973C6" w:rsidP="00235300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Dasar ilmiah pentingnya indikator ini</w:t>
            </w:r>
          </w:p>
        </w:tc>
        <w:tc>
          <w:tcPr>
            <w:tcW w:w="4282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7D64D4">
        <w:tc>
          <w:tcPr>
            <w:tcW w:w="4960" w:type="dxa"/>
          </w:tcPr>
          <w:p w:rsidR="00E973C6" w:rsidRPr="00235300" w:rsidRDefault="00E973C6" w:rsidP="00235300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Keterkaitan antara indikator dengan program peningkatan mutu dan keselamatan pasien</w:t>
            </w:r>
          </w:p>
        </w:tc>
        <w:tc>
          <w:tcPr>
            <w:tcW w:w="4282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E973C6">
        <w:tc>
          <w:tcPr>
            <w:tcW w:w="4960" w:type="dxa"/>
          </w:tcPr>
          <w:p w:rsidR="00E973C6" w:rsidRPr="00235300" w:rsidRDefault="00E973C6" w:rsidP="00235300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Cara penilaian dilakukan (termasuk penetapan penggunaan semua kasus atau dengan sampel)</w:t>
            </w:r>
          </w:p>
        </w:tc>
        <w:tc>
          <w:tcPr>
            <w:tcW w:w="4282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D61018">
        <w:tc>
          <w:tcPr>
            <w:tcW w:w="4960" w:type="dxa"/>
          </w:tcPr>
          <w:p w:rsidR="00E973C6" w:rsidRPr="00235300" w:rsidRDefault="00E973C6" w:rsidP="00235300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Target pencapaian</w:t>
            </w:r>
          </w:p>
        </w:tc>
        <w:tc>
          <w:tcPr>
            <w:tcW w:w="4282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E973C6">
        <w:tc>
          <w:tcPr>
            <w:tcW w:w="4960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Jadwal dan frekuensi dari penilaian</w:t>
            </w:r>
          </w:p>
        </w:tc>
        <w:tc>
          <w:tcPr>
            <w:tcW w:w="4282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973C6" w:rsidRPr="00235300" w:rsidTr="00E973C6">
        <w:tc>
          <w:tcPr>
            <w:tcW w:w="4960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2353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Penanggung jawab pengumpul data</w:t>
            </w:r>
          </w:p>
        </w:tc>
        <w:tc>
          <w:tcPr>
            <w:tcW w:w="4282" w:type="dxa"/>
          </w:tcPr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:rsidR="00E973C6" w:rsidRPr="00235300" w:rsidRDefault="00E973C6" w:rsidP="0023530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E973C6" w:rsidRPr="00235300" w:rsidRDefault="00E973C6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</w:p>
    <w:p w:rsidR="00E973C6" w:rsidRPr="00235300" w:rsidRDefault="00E973C6" w:rsidP="00235300">
      <w:pPr>
        <w:spacing w:before="0" w:after="12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</w:pPr>
      <w:r w:rsidRPr="0023530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en-GB"/>
        </w:rPr>
        <w:t xml:space="preserve"> </w:t>
      </w:r>
    </w:p>
    <w:p w:rsidR="00D15707" w:rsidRPr="00235300" w:rsidRDefault="00D15707" w:rsidP="00235300">
      <w:pPr>
        <w:spacing w:before="0" w:after="120" w:line="240" w:lineRule="auto"/>
        <w:rPr>
          <w:color w:val="000000" w:themeColor="text1"/>
          <w:sz w:val="22"/>
          <w:szCs w:val="22"/>
        </w:rPr>
      </w:pPr>
    </w:p>
    <w:sectPr w:rsidR="00D15707" w:rsidRPr="00235300" w:rsidSect="00DD67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79" w:rsidRDefault="00034E79" w:rsidP="00E973C6">
      <w:pPr>
        <w:spacing w:before="0" w:after="0" w:line="240" w:lineRule="auto"/>
      </w:pPr>
      <w:r>
        <w:separator/>
      </w:r>
    </w:p>
  </w:endnote>
  <w:endnote w:type="continuationSeparator" w:id="0">
    <w:p w:rsidR="00034E79" w:rsidRDefault="00034E79" w:rsidP="00E973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C6" w:rsidRDefault="00235300">
    <w:pPr>
      <w:pStyle w:val="Footer"/>
    </w:pPr>
    <w:r>
      <w:rPr>
        <w:b/>
      </w:rPr>
      <w:t>Materi Workshop Mutu RS, PERSI 7 November 2013. Hanevi Djasri</w:t>
    </w:r>
    <w:r w:rsidR="00E973C6">
      <w:tab/>
      <w:t xml:space="preserve">Halaman </w:t>
    </w:r>
    <w:r w:rsidR="00034E79">
      <w:fldChar w:fldCharType="begin"/>
    </w:r>
    <w:r w:rsidR="00034E79">
      <w:instrText xml:space="preserve"> PAGE   \* MERGEFORMAT </w:instrText>
    </w:r>
    <w:r w:rsidR="00034E79">
      <w:fldChar w:fldCharType="separate"/>
    </w:r>
    <w:r w:rsidR="000C4A81">
      <w:rPr>
        <w:noProof/>
      </w:rPr>
      <w:t>3</w:t>
    </w:r>
    <w:r w:rsidR="00034E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79" w:rsidRDefault="00034E79" w:rsidP="00E973C6">
      <w:pPr>
        <w:spacing w:before="0" w:after="0" w:line="240" w:lineRule="auto"/>
      </w:pPr>
      <w:r>
        <w:separator/>
      </w:r>
    </w:p>
  </w:footnote>
  <w:footnote w:type="continuationSeparator" w:id="0">
    <w:p w:rsidR="00034E79" w:rsidRDefault="00034E79" w:rsidP="00E973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3EA"/>
    <w:multiLevelType w:val="hybridMultilevel"/>
    <w:tmpl w:val="B2669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A6882"/>
    <w:multiLevelType w:val="hybridMultilevel"/>
    <w:tmpl w:val="F6A81E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CEABC2">
      <w:start w:val="1"/>
      <w:numFmt w:val="decimal"/>
      <w:lvlText w:val="%2."/>
      <w:lvlJc w:val="left"/>
      <w:pPr>
        <w:ind w:left="1365" w:hanging="64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17323"/>
    <w:multiLevelType w:val="hybridMultilevel"/>
    <w:tmpl w:val="AA7C07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97F14"/>
    <w:multiLevelType w:val="hybridMultilevel"/>
    <w:tmpl w:val="650630EC"/>
    <w:lvl w:ilvl="0" w:tplc="DA02120A">
      <w:numFmt w:val="bullet"/>
      <w:lvlText w:val="-"/>
      <w:lvlJc w:val="left"/>
      <w:pPr>
        <w:ind w:left="795" w:hanging="43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0315"/>
    <w:multiLevelType w:val="hybridMultilevel"/>
    <w:tmpl w:val="C6762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605B27"/>
    <w:multiLevelType w:val="hybridMultilevel"/>
    <w:tmpl w:val="7D70C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84E34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64A1"/>
    <w:multiLevelType w:val="hybridMultilevel"/>
    <w:tmpl w:val="A1FE1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B552A"/>
    <w:multiLevelType w:val="hybridMultilevel"/>
    <w:tmpl w:val="521ED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D90A83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945E1"/>
    <w:multiLevelType w:val="hybridMultilevel"/>
    <w:tmpl w:val="19DA20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8584E34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43BCF"/>
    <w:multiLevelType w:val="hybridMultilevel"/>
    <w:tmpl w:val="4CDE2E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035D6B"/>
    <w:multiLevelType w:val="hybridMultilevel"/>
    <w:tmpl w:val="5B32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93BD1"/>
    <w:multiLevelType w:val="hybridMultilevel"/>
    <w:tmpl w:val="1100A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A7C42"/>
    <w:multiLevelType w:val="hybridMultilevel"/>
    <w:tmpl w:val="9A9A9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56B71"/>
    <w:multiLevelType w:val="hybridMultilevel"/>
    <w:tmpl w:val="2F146C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20DEA"/>
    <w:multiLevelType w:val="hybridMultilevel"/>
    <w:tmpl w:val="F5625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7"/>
    <w:rsid w:val="00034E79"/>
    <w:rsid w:val="000938FD"/>
    <w:rsid w:val="000C4A81"/>
    <w:rsid w:val="001D7399"/>
    <w:rsid w:val="001E21A6"/>
    <w:rsid w:val="001F6EE8"/>
    <w:rsid w:val="00235300"/>
    <w:rsid w:val="002F0DE8"/>
    <w:rsid w:val="00435157"/>
    <w:rsid w:val="004A5941"/>
    <w:rsid w:val="004C3636"/>
    <w:rsid w:val="00532285"/>
    <w:rsid w:val="008A547A"/>
    <w:rsid w:val="009365C7"/>
    <w:rsid w:val="009F0D25"/>
    <w:rsid w:val="00A90A97"/>
    <w:rsid w:val="00B1664A"/>
    <w:rsid w:val="00C7759C"/>
    <w:rsid w:val="00D15707"/>
    <w:rsid w:val="00D96A3B"/>
    <w:rsid w:val="00DD67FE"/>
    <w:rsid w:val="00DE6FE8"/>
    <w:rsid w:val="00E02015"/>
    <w:rsid w:val="00E973C6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9AF07-371A-48FA-8B1B-EC37DF0B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E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E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E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E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EE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EE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EE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EE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E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E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6E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6EE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F6EE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EE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EE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EE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EE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EE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EE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6EE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6E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EE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E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6EE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F6EE8"/>
    <w:rPr>
      <w:b/>
      <w:bCs/>
    </w:rPr>
  </w:style>
  <w:style w:type="character" w:styleId="Emphasis">
    <w:name w:val="Emphasis"/>
    <w:uiPriority w:val="20"/>
    <w:qFormat/>
    <w:rsid w:val="001F6EE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F6EE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6EE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F6EE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6EE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E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EE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F6EE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F6EE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F6EE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F6EE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F6EE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EE8"/>
    <w:pPr>
      <w:outlineLvl w:val="9"/>
    </w:pPr>
  </w:style>
  <w:style w:type="table" w:styleId="TableGrid">
    <w:name w:val="Table Grid"/>
    <w:basedOn w:val="TableNormal"/>
    <w:uiPriority w:val="59"/>
    <w:rsid w:val="00B1664A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73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3C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973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3C6"/>
    <w:rPr>
      <w:sz w:val="20"/>
      <w:szCs w:val="20"/>
    </w:rPr>
  </w:style>
  <w:style w:type="paragraph" w:styleId="BodyText">
    <w:name w:val="Body Text"/>
    <w:basedOn w:val="Normal"/>
    <w:link w:val="BodyTextChar"/>
    <w:rsid w:val="00235300"/>
    <w:pPr>
      <w:spacing w:before="0"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35300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 Djasri</dc:creator>
  <cp:lastModifiedBy>Musaida</cp:lastModifiedBy>
  <cp:revision>2</cp:revision>
  <dcterms:created xsi:type="dcterms:W3CDTF">2016-11-18T15:48:00Z</dcterms:created>
  <dcterms:modified xsi:type="dcterms:W3CDTF">2016-11-18T15:48:00Z</dcterms:modified>
</cp:coreProperties>
</file>