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27" w:rsidRPr="00244519" w:rsidRDefault="00263E27" w:rsidP="00263E27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Pengembangan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Indikator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Mutu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Pelayanan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Kesehatan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: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Pengalaman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Denmark</w:t>
      </w:r>
      <w:r w:rsidRPr="00244519">
        <w:rPr>
          <w:rStyle w:val="FootnoteReference"/>
          <w:rFonts w:asciiTheme="minorHAnsi" w:hAnsiTheme="minorHAnsi" w:cstheme="minorHAnsi"/>
          <w:b/>
          <w:sz w:val="32"/>
          <w:szCs w:val="32"/>
        </w:rPr>
        <w:footnoteReference w:id="1"/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Hanevi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Djasri</w:t>
      </w:r>
      <w:proofErr w:type="spellEnd"/>
      <w:r w:rsidR="002E2AAD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2"/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Sejak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bergulirnya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kesempatan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(BLU) di Indonesia,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berlomba-lomba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Rumah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Daerah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mengajukan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memperoleh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BLU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memang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menjanjikan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Dimulai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sejak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2000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project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mutliyear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budget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sekitar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US$ 1</w:t>
      </w:r>
      <w:proofErr w:type="gramStart"/>
      <w:r w:rsidRPr="00244519">
        <w:rPr>
          <w:rFonts w:asciiTheme="minorHAnsi" w:hAnsiTheme="minorHAnsi" w:cstheme="minorHAnsi"/>
          <w:sz w:val="22"/>
          <w:szCs w:val="22"/>
        </w:rPr>
        <w:t>,5</w:t>
      </w:r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(0,1%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total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anggaran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Denmark/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). Denmark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sendiri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5 region/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provinsi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total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penduduk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sekitar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5,5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orang, 1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admision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RS/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6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rawat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jalan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35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kunjungan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hampir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seluruh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sarana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pemerintah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publik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dimulai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karena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desakan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keperawatan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mutu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rumah-sakit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terkiat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pemerintah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membentuk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lembaga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akreditasi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akhirnya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terbentuk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2002-2005).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Desakan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didukung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kelima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 Denmark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Scientific Societies (yang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dosen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 &amp;</w:t>
      </w:r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peneliti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senior di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fakultas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kedokteran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keperawatan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Stakholder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diperluas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sehingga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meliputi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National board of health,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lain.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Tujuan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mendorong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improvement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sedangkan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proses improvement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diserahkan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masing-masing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sarana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intitusi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lain).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Menggunakan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rantai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efek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Berwick,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praktisi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manajer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pembuat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kebijakan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peraturan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prinsip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standar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disusun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evidence based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 Denmark; Para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anggota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mengevaluasi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menerjemahkan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sebelum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 publish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disebarluaskan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Menjamin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semua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berjalan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ilmiah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transparan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Oktober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2008),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8 set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jenis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yaitu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 Stroke; Hip fracture; Acute GI surgery: Lung cancer; Heart failure; Schizophrenia; Diabetes; COPD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pemilihan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kombinasi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antara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terbanyak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pejabat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tokoh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politik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Seluruhnya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115 </w:t>
      </w:r>
      <w:r w:rsidRPr="00244519">
        <w:rPr>
          <w:rFonts w:asciiTheme="minorHAnsi" w:hAnsiTheme="minorHAnsi" w:cstheme="minorHAnsi"/>
          <w:i/>
          <w:sz w:val="22"/>
          <w:szCs w:val="22"/>
        </w:rPr>
        <w:t>clinical indicators</w:t>
      </w:r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kewajiban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seluruh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RS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mengirimkan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gambar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struktur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tahap-tahap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penerapan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object w:dxaOrig="6782" w:dyaOrig="4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238.5pt" o:ole="" o:bordertopcolor="this" o:borderleftcolor="this" o:borderbottomcolor="this" o:borderrightcolor="this">
            <v:imagedata r:id="rId8" o:title=""/>
          </v:shape>
          <o:OLEObject Type="Embed" ProgID="Visio.Drawing.11" ShapeID="_x0000_i1025" DrawAspect="Content" ObjectID="_1554971212" r:id="rId9"/>
        </w:object>
      </w:r>
    </w:p>
    <w:p w:rsidR="00263E27" w:rsidRPr="00244519" w:rsidRDefault="00263E27" w:rsidP="00263E27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Gambar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Strukur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Danish National Indicator Project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sumber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DINP 2008,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diolah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). *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para health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multidisplin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diusulkan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tim</w:t>
      </w:r>
      <w:proofErr w:type="spellEnd"/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ahli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(the scientific society), 12-18 orang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disease group. **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 coordinator, hospital top management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coordinator,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kepala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koordinator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I: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indikator</w:t>
      </w:r>
      <w:proofErr w:type="spellEnd"/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dikembangan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disease group team,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fasilitasi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secretariat.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Tahap-tahap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persiapan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antara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Secretariat,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Kepala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Disease Group Team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dipilih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paling senior/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dihormati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namun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dianggap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mendominasi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kelompok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), The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Documentalist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banyak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pengalaman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praktis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ilmiah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epidemiologist.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awal</w:t>
      </w:r>
      <w:proofErr w:type="spellEnd"/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Pencarian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evidance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based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Heering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uji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coba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termasuk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validasi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Finalisasi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Konfrensi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nasional</w:t>
      </w:r>
      <w:proofErr w:type="spellEnd"/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lengkap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diperoleh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 xml:space="preserve">Set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Domain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; Type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proses,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namun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selalu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dilengkapi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outcome);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Standar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pencapaian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diharapkan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ditetapkan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konsensus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Waktu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pengukuran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</w:p>
    <w:p w:rsidR="00263E27" w:rsidRPr="00244519" w:rsidRDefault="00263E27" w:rsidP="00263E27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Evidance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berasal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literartur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review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menjawab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terpilih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hubungan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antara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terpilih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prognosis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argumentasi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bahwa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pemilihan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good clinical result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good clinical practice</w:t>
      </w:r>
    </w:p>
    <w:p w:rsidR="00263E27" w:rsidRPr="00244519" w:rsidRDefault="00263E27" w:rsidP="00263E27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Definisi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terkait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kriteria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inklusi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eksklusi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spesifikasi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</w:t>
      </w:r>
    </w:p>
    <w:p w:rsidR="00263E27" w:rsidRPr="00244519" w:rsidRDefault="00263E27" w:rsidP="00263E27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lastRenderedPageBreak/>
        <w:t>Formulir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registrasi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meski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sebagaian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RS Demark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mengimplementasikan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elektronik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rekam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medik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namun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dirasakan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formulir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manual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diinput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ulang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base NIP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II: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Uji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coba</w:t>
      </w:r>
      <w:proofErr w:type="spellEnd"/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Uji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coba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melihat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sejauh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mana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kesiapan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terlibat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logistik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dibutuhkan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spesifik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uji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coba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>Interrater reliability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suatu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studi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ilmiah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2-3 orang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perawat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diminta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formulir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RM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Memastikan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kriteria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inklusi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Memastikan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pelaporan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lengkap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menggunakan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validasi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layar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komputer</w:t>
      </w:r>
      <w:proofErr w:type="spellEnd"/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smartTag w:uri="urn:schemas-microsoft-com:office:smarttags" w:element="stockticker">
        <w:r w:rsidRPr="00244519">
          <w:rPr>
            <w:rFonts w:asciiTheme="minorHAnsi" w:hAnsiTheme="minorHAnsi" w:cstheme="minorHAnsi"/>
            <w:b/>
            <w:sz w:val="22"/>
            <w:szCs w:val="22"/>
          </w:rPr>
          <w:t>III</w:t>
        </w:r>
      </w:smartTag>
      <w:r w:rsidRPr="00244519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Pengambilan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data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 group team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lihat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tabel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pembagian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tugas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penanggung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jawab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operasional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pengumpulan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koordinator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department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stockticker">
        <w:r w:rsidRPr="00244519">
          <w:rPr>
            <w:rFonts w:asciiTheme="minorHAnsi" w:hAnsiTheme="minorHAnsi" w:cstheme="minorHAnsi"/>
            <w:sz w:val="22"/>
            <w:szCs w:val="22"/>
          </w:rPr>
          <w:t>SMF</w:t>
        </w:r>
      </w:smartTag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kepala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instalasi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Fasilitasi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 NIP secretariat,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berupa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Pemberian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penjelasan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koordinator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 </w:t>
      </w:r>
    </w:p>
    <w:p w:rsidR="00263E27" w:rsidRPr="00244519" w:rsidRDefault="00263E27" w:rsidP="00263E27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Menjelaskan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set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pengumpulan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data, time frame,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dsb</w:t>
      </w:r>
      <w:proofErr w:type="spellEnd"/>
    </w:p>
    <w:p w:rsidR="00263E27" w:rsidRPr="00244519" w:rsidRDefault="00263E27" w:rsidP="00263E27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Mengembangkan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termasuk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mengimplementasi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dukungan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penggunaannya</w:t>
      </w:r>
      <w:proofErr w:type="spellEnd"/>
    </w:p>
    <w:p w:rsidR="00263E27" w:rsidRPr="00244519" w:rsidRDefault="00263E27" w:rsidP="00263E27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Menyediakan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hot-line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menjawab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pertanyaan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terkiat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tehnis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medis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penggunaan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IT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telefon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website </w:t>
      </w:r>
      <w:hyperlink r:id="rId10" w:history="1">
        <w:r w:rsidRPr="00244519">
          <w:rPr>
            <w:rStyle w:val="Hyperlink"/>
            <w:rFonts w:asciiTheme="minorHAnsi" w:hAnsiTheme="minorHAnsi" w:cstheme="minorHAnsi"/>
            <w:sz w:val="22"/>
            <w:szCs w:val="22"/>
          </w:rPr>
          <w:t>www.nip.dk</w:t>
        </w:r>
      </w:hyperlink>
      <w:r w:rsidRPr="00244519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“Clinical Performance Measurement”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dikembangkan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digunakan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lebih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2000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tanpa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perlu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pelatihan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Berbasis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web,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vendor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terintegrasi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Danish Health Care Data Network (yang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selesai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dibangun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terintegrasi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base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sosial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seperti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kependudukan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...Denmark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kependudukan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national specific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identitifikation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number). 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IV: Data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clinical epidemiology unit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 xml:space="preserve">Data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terkumpul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RS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epidemiology unit,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disajikan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berbagai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tabel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grafik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penjelasan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dipresentasikan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forum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V: Clinical audit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presentasi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epidemiology unit. Tim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pembahasan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tentang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menyusun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rekkomendari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aktifitas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perlu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level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(1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sekali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level regional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regional).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diikuti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 coordinator, top management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coordinator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dihadiri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secretariat.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lastRenderedPageBreak/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VI: Public release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Keseluruhan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mentah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hingga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dipublish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website.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sasaran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pembaca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dituju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Manajemen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Regulator.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Tantangan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bagaimana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membuat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mudah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dimengerti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menimbulkan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efek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negatif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utnuk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tiu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pendekatan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diambil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>Lower the cognitive effort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gambar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>Highlight meaning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cerita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>Move closer to actual experiences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Sejauh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dampak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diinginkan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public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realse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diperoleh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provider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sangat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senstifi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responsif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terdahap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</w:p>
    <w:p w:rsidR="00263E27" w:rsidRPr="00244519" w:rsidRDefault="00263E27" w:rsidP="00263E27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berguna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menentukan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sarana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dipilih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kadang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bantuan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intrepertasi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keluarga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diterima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mendorong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keterlibatan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mereka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improvement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meski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sering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sekali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harus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reaksi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 denial s/d acceptance)</w:t>
      </w:r>
    </w:p>
    <w:p w:rsidR="00263E27" w:rsidRPr="00244519" w:rsidRDefault="00263E27" w:rsidP="00263E2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63E27" w:rsidRPr="00244519" w:rsidRDefault="00263E27" w:rsidP="00263E27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63E27" w:rsidRPr="00244519" w:rsidRDefault="00263E27" w:rsidP="00263E2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FC6C21" w:rsidRDefault="004478FE"/>
    <w:sectPr w:rsidR="00FC6C21" w:rsidSect="00DD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9C" w:rsidRDefault="00AB429C" w:rsidP="00263E27">
      <w:r>
        <w:separator/>
      </w:r>
    </w:p>
  </w:endnote>
  <w:endnote w:type="continuationSeparator" w:id="0">
    <w:p w:rsidR="00AB429C" w:rsidRDefault="00AB429C" w:rsidP="0026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9C" w:rsidRDefault="00AB429C" w:rsidP="00263E27">
      <w:r>
        <w:separator/>
      </w:r>
    </w:p>
  </w:footnote>
  <w:footnote w:type="continuationSeparator" w:id="0">
    <w:p w:rsidR="00AB429C" w:rsidRDefault="00AB429C" w:rsidP="00263E27">
      <w:r>
        <w:continuationSeparator/>
      </w:r>
    </w:p>
  </w:footnote>
  <w:footnote w:id="1">
    <w:p w:rsidR="00263E27" w:rsidRPr="00244519" w:rsidRDefault="00263E27" w:rsidP="00263E27">
      <w:pPr>
        <w:pStyle w:val="FootnoteText"/>
        <w:rPr>
          <w:rFonts w:asciiTheme="minorHAnsi" w:hAnsiTheme="minorHAnsi" w:cstheme="minorHAnsi"/>
        </w:rPr>
      </w:pPr>
      <w:r w:rsidRPr="00244519">
        <w:rPr>
          <w:rStyle w:val="FootnoteReference"/>
          <w:rFonts w:asciiTheme="minorHAnsi" w:hAnsiTheme="minorHAnsi" w:cstheme="minorHAnsi"/>
        </w:rPr>
        <w:footnoteRef/>
      </w:r>
      <w:r w:rsidRPr="00244519">
        <w:rPr>
          <w:rFonts w:asciiTheme="minorHAnsi" w:hAnsiTheme="minorHAnsi" w:cstheme="minorHAnsi"/>
        </w:rPr>
        <w:t xml:space="preserve"> </w:t>
      </w:r>
      <w:proofErr w:type="spellStart"/>
      <w:r w:rsidRPr="00244519">
        <w:rPr>
          <w:rFonts w:asciiTheme="minorHAnsi" w:hAnsiTheme="minorHAnsi" w:cstheme="minorHAnsi"/>
        </w:rPr>
        <w:t>Hasil</w:t>
      </w:r>
      <w:proofErr w:type="spellEnd"/>
      <w:r w:rsidRPr="00244519">
        <w:rPr>
          <w:rFonts w:asciiTheme="minorHAnsi" w:hAnsiTheme="minorHAnsi" w:cstheme="minorHAnsi"/>
        </w:rPr>
        <w:t xml:space="preserve"> mentorship program, </w:t>
      </w:r>
      <w:proofErr w:type="spellStart"/>
      <w:r w:rsidRPr="00244519">
        <w:rPr>
          <w:rFonts w:asciiTheme="minorHAnsi" w:hAnsiTheme="minorHAnsi" w:cstheme="minorHAnsi"/>
        </w:rPr>
        <w:t>ISQua</w:t>
      </w:r>
      <w:proofErr w:type="spellEnd"/>
      <w:r w:rsidRPr="00244519">
        <w:rPr>
          <w:rFonts w:asciiTheme="minorHAnsi" w:hAnsiTheme="minorHAnsi" w:cstheme="minorHAnsi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244519">
            <w:rPr>
              <w:rFonts w:asciiTheme="minorHAnsi" w:hAnsiTheme="minorHAnsi" w:cstheme="minorHAnsi"/>
            </w:rPr>
            <w:t>Kopenhagen</w:t>
          </w:r>
        </w:smartTag>
        <w:proofErr w:type="spellEnd"/>
        <w:r w:rsidRPr="00244519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country-region">
          <w:r w:rsidRPr="00244519">
            <w:rPr>
              <w:rFonts w:asciiTheme="minorHAnsi" w:hAnsiTheme="minorHAnsi" w:cstheme="minorHAnsi"/>
            </w:rPr>
            <w:t>Denmark</w:t>
          </w:r>
        </w:smartTag>
      </w:smartTag>
      <w:r w:rsidRPr="00244519">
        <w:rPr>
          <w:rFonts w:asciiTheme="minorHAnsi" w:hAnsiTheme="minorHAnsi" w:cstheme="minorHAnsi"/>
        </w:rPr>
        <w:t>, 2008</w:t>
      </w:r>
    </w:p>
  </w:footnote>
  <w:footnote w:id="2">
    <w:p w:rsidR="002E2AAD" w:rsidRPr="002E2AAD" w:rsidRDefault="002E2AAD">
      <w:pPr>
        <w:pStyle w:val="FootnoteText"/>
        <w:rPr>
          <w:rFonts w:asciiTheme="minorHAnsi" w:hAnsiTheme="minorHAnsi" w:cstheme="minorHAnsi"/>
        </w:rPr>
      </w:pPr>
      <w:r w:rsidRPr="002E2AAD">
        <w:rPr>
          <w:rStyle w:val="FootnoteReference"/>
          <w:rFonts w:asciiTheme="minorHAnsi" w:hAnsiTheme="minorHAnsi" w:cstheme="minorHAnsi"/>
        </w:rPr>
        <w:footnoteRef/>
      </w:r>
      <w:r w:rsidRPr="002E2AAD">
        <w:rPr>
          <w:rFonts w:asciiTheme="minorHAnsi" w:hAnsiTheme="minorHAnsi" w:cstheme="minorHAnsi"/>
        </w:rPr>
        <w:t xml:space="preserve"> </w:t>
      </w:r>
      <w:proofErr w:type="spellStart"/>
      <w:r w:rsidRPr="002E2AAD">
        <w:rPr>
          <w:rFonts w:asciiTheme="minorHAnsi" w:hAnsiTheme="minorHAnsi" w:cstheme="minorHAnsi"/>
        </w:rPr>
        <w:t>Anggota</w:t>
      </w:r>
      <w:proofErr w:type="spellEnd"/>
      <w:r w:rsidRPr="002E2AAD">
        <w:rPr>
          <w:rFonts w:asciiTheme="minorHAnsi" w:hAnsiTheme="minorHAnsi" w:cstheme="minorHAnsi"/>
        </w:rPr>
        <w:t xml:space="preserve"> </w:t>
      </w:r>
      <w:proofErr w:type="spellStart"/>
      <w:r w:rsidRPr="002E2AAD">
        <w:rPr>
          <w:rFonts w:asciiTheme="minorHAnsi" w:hAnsiTheme="minorHAnsi" w:cstheme="minorHAnsi"/>
        </w:rPr>
        <w:t>Kompartemen</w:t>
      </w:r>
      <w:proofErr w:type="spellEnd"/>
      <w:r w:rsidRPr="002E2AAD">
        <w:rPr>
          <w:rFonts w:asciiTheme="minorHAnsi" w:hAnsiTheme="minorHAnsi" w:cstheme="minorHAnsi"/>
        </w:rPr>
        <w:t xml:space="preserve"> </w:t>
      </w:r>
      <w:proofErr w:type="spellStart"/>
      <w:r w:rsidRPr="002E2AAD">
        <w:rPr>
          <w:rFonts w:asciiTheme="minorHAnsi" w:hAnsiTheme="minorHAnsi" w:cstheme="minorHAnsi"/>
        </w:rPr>
        <w:t>Mutu</w:t>
      </w:r>
      <w:proofErr w:type="spellEnd"/>
      <w:r w:rsidRPr="002E2AAD">
        <w:rPr>
          <w:rFonts w:asciiTheme="minorHAnsi" w:hAnsiTheme="minorHAnsi" w:cstheme="minorHAnsi"/>
        </w:rPr>
        <w:t xml:space="preserve">, </w:t>
      </w:r>
      <w:proofErr w:type="spellStart"/>
      <w:r w:rsidRPr="002E2AAD">
        <w:rPr>
          <w:rFonts w:asciiTheme="minorHAnsi" w:hAnsiTheme="minorHAnsi" w:cstheme="minorHAnsi"/>
        </w:rPr>
        <w:t>Pengurus</w:t>
      </w:r>
      <w:proofErr w:type="spellEnd"/>
      <w:r w:rsidRPr="002E2AAD">
        <w:rPr>
          <w:rFonts w:asciiTheme="minorHAnsi" w:hAnsiTheme="minorHAnsi" w:cstheme="minorHAnsi"/>
        </w:rPr>
        <w:t xml:space="preserve"> </w:t>
      </w:r>
      <w:proofErr w:type="spellStart"/>
      <w:r w:rsidRPr="002E2AAD">
        <w:rPr>
          <w:rFonts w:asciiTheme="minorHAnsi" w:hAnsiTheme="minorHAnsi" w:cstheme="minorHAnsi"/>
        </w:rPr>
        <w:t>Pusat</w:t>
      </w:r>
      <w:proofErr w:type="spellEnd"/>
      <w:r w:rsidRPr="002E2AAD">
        <w:rPr>
          <w:rFonts w:asciiTheme="minorHAnsi" w:hAnsiTheme="minorHAnsi" w:cstheme="minorHAnsi"/>
        </w:rPr>
        <w:t xml:space="preserve"> PERSI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05A7"/>
    <w:multiLevelType w:val="hybridMultilevel"/>
    <w:tmpl w:val="A934B47A"/>
    <w:lvl w:ilvl="0" w:tplc="20B62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5F49"/>
    <w:multiLevelType w:val="hybridMultilevel"/>
    <w:tmpl w:val="B31850A0"/>
    <w:lvl w:ilvl="0" w:tplc="2F4CE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F5CA9"/>
    <w:multiLevelType w:val="hybridMultilevel"/>
    <w:tmpl w:val="18247E94"/>
    <w:lvl w:ilvl="0" w:tplc="20B62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13AE"/>
    <w:multiLevelType w:val="hybridMultilevel"/>
    <w:tmpl w:val="9056C740"/>
    <w:lvl w:ilvl="0" w:tplc="1A38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F2FC0"/>
    <w:multiLevelType w:val="hybridMultilevel"/>
    <w:tmpl w:val="688C2C1C"/>
    <w:lvl w:ilvl="0" w:tplc="44226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27"/>
    <w:rsid w:val="001E21A6"/>
    <w:rsid w:val="00263E27"/>
    <w:rsid w:val="002B5BD8"/>
    <w:rsid w:val="002E2AAD"/>
    <w:rsid w:val="002F0DE8"/>
    <w:rsid w:val="003E79B4"/>
    <w:rsid w:val="004478FE"/>
    <w:rsid w:val="004A5941"/>
    <w:rsid w:val="006C0368"/>
    <w:rsid w:val="008A547A"/>
    <w:rsid w:val="009365C7"/>
    <w:rsid w:val="009F0D25"/>
    <w:rsid w:val="00A62D33"/>
    <w:rsid w:val="00A90A97"/>
    <w:rsid w:val="00AB429C"/>
    <w:rsid w:val="00B243B0"/>
    <w:rsid w:val="00CE6962"/>
    <w:rsid w:val="00DD67FE"/>
    <w:rsid w:val="00E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5E12B771-0AF0-4A6E-A75E-2AA01777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E27"/>
    <w:rPr>
      <w:color w:val="003366"/>
      <w:u w:val="single"/>
    </w:rPr>
  </w:style>
  <w:style w:type="paragraph" w:styleId="FootnoteText">
    <w:name w:val="footnote text"/>
    <w:basedOn w:val="Normal"/>
    <w:link w:val="FootnoteTextChar"/>
    <w:semiHidden/>
    <w:rsid w:val="00263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3E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63E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p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95A4-8EF8-487A-A700-1B4979A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 Djasri</dc:creator>
  <cp:lastModifiedBy>Musaida</cp:lastModifiedBy>
  <cp:revision>2</cp:revision>
  <cp:lastPrinted>2017-04-28T13:33:00Z</cp:lastPrinted>
  <dcterms:created xsi:type="dcterms:W3CDTF">2017-04-29T04:40:00Z</dcterms:created>
  <dcterms:modified xsi:type="dcterms:W3CDTF">2017-04-29T04:40:00Z</dcterms:modified>
</cp:coreProperties>
</file>