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C0" w:rsidRPr="00D152AC" w:rsidRDefault="00972AC0" w:rsidP="00972AC0">
      <w:pPr>
        <w:shd w:val="clear" w:color="auto" w:fill="FFFFFF"/>
        <w:spacing w:after="0" w:line="360" w:lineRule="auto"/>
        <w:jc w:val="center"/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</w:pP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Pertemuan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10</w:t>
      </w:r>
    </w:p>
    <w:p w:rsidR="00972AC0" w:rsidRPr="00D152AC" w:rsidRDefault="00972AC0" w:rsidP="00972AC0">
      <w:pPr>
        <w:shd w:val="clear" w:color="auto" w:fill="FFFFFF"/>
        <w:spacing w:after="0" w:line="360" w:lineRule="auto"/>
        <w:jc w:val="center"/>
        <w:rPr>
          <w:rFonts w:ascii="Cambria" w:eastAsia="Times New Roman" w:hAnsi="Cambria"/>
          <w:b/>
          <w:sz w:val="40"/>
          <w:szCs w:val="40"/>
          <w:lang w:eastAsia="en-GB"/>
        </w:rPr>
      </w:pP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Teori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Teori</w:t>
      </w:r>
      <w:proofErr w:type="spellEnd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color w:val="000000"/>
          <w:sz w:val="40"/>
          <w:szCs w:val="40"/>
          <w:lang w:eastAsia="en-GB"/>
        </w:rPr>
        <w:t>Investasi</w:t>
      </w:r>
      <w:proofErr w:type="spellEnd"/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  <w:t>Teori</w:t>
      </w:r>
      <w:proofErr w:type="spellEnd"/>
      <w:r w:rsidRPr="00D152AC"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  <w:t>Konsumsi</w:t>
      </w:r>
      <w:proofErr w:type="spellEnd"/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shd w:val="clear" w:color="auto" w:fill="FFFFFF"/>
        <w:spacing w:after="0" w:line="360" w:lineRule="auto"/>
        <w:ind w:firstLine="567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Pengeluaran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terdiri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dari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pemerintah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</w:t>
      </w: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government consumption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)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rumah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tangga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</w:t>
      </w: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household consumption/private consumption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).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Faktor-faktor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mempengaruhi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besarnya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pengeluaran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rumah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tangga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antara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lain :</w:t>
      </w:r>
      <w:proofErr w:type="gramEnd"/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Cambria" w:eastAsia="Times New Roman" w:hAnsi="Cambria"/>
          <w:b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b/>
          <w:color w:val="000000"/>
          <w:sz w:val="24"/>
          <w:szCs w:val="24"/>
          <w:lang w:eastAsia="en-GB"/>
        </w:rPr>
        <w:t>Faktor</w:t>
      </w:r>
      <w:proofErr w:type="spellEnd"/>
      <w:r w:rsidRPr="00D152AC">
        <w:rPr>
          <w:rFonts w:ascii="Cambria" w:eastAsia="Times New Roman" w:hAnsi="Cambria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color w:val="000000"/>
          <w:sz w:val="24"/>
          <w:szCs w:val="24"/>
          <w:lang w:eastAsia="en-GB"/>
        </w:rPr>
        <w:t>Ekonomi</w:t>
      </w:r>
      <w:proofErr w:type="spellEnd"/>
    </w:p>
    <w:p w:rsidR="00972AC0" w:rsidRPr="00D152AC" w:rsidRDefault="00972AC0" w:rsidP="00972AC0">
      <w:pPr>
        <w:shd w:val="clear" w:color="auto" w:fill="FFFFFF"/>
        <w:spacing w:after="0" w:line="360" w:lineRule="auto"/>
        <w:ind w:firstLine="426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Empat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faktor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menentukan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yaitu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:</w:t>
      </w:r>
      <w:proofErr w:type="gramEnd"/>
    </w:p>
    <w:p w:rsidR="00972AC0" w:rsidRPr="00D152AC" w:rsidRDefault="00972AC0" w:rsidP="00972AC0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ind w:left="851" w:hanging="425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Pendapatan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Rumah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Tangga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 </w:t>
      </w: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Household Income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)</w:t>
      </w:r>
    </w:p>
    <w:p w:rsidR="00972AC0" w:rsidRPr="00D152AC" w:rsidRDefault="00972AC0" w:rsidP="00972AC0">
      <w:pPr>
        <w:shd w:val="clear" w:color="auto" w:fill="FFFFFF"/>
        <w:spacing w:after="0" w:line="360" w:lineRule="auto"/>
        <w:ind w:left="851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Pendapatan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rumah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tangga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amat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besar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pengaruhnya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terhadap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Biasanya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makin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baik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pendapatan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makin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tinggi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Karena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ketika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pendapatan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kemampuan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rumah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tangga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untuk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membeli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aneka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kebutuhan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menjadi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semakin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besar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atau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mungkin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juga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pola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hidup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menjadi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semakin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konsumtif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setidak-tidaknya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semakin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menuntut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kualitas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baik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</w:p>
    <w:p w:rsidR="00972AC0" w:rsidRPr="00D152AC" w:rsidRDefault="00972AC0" w:rsidP="00972AC0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ind w:left="851" w:hanging="425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Kekayaan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Rumah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Tangga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 </w:t>
      </w: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Household Wealth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)</w:t>
      </w:r>
    </w:p>
    <w:p w:rsidR="00972AC0" w:rsidRPr="00D152AC" w:rsidRDefault="00972AC0" w:rsidP="00972AC0">
      <w:pPr>
        <w:shd w:val="clear" w:color="auto" w:fill="FFFFFF"/>
        <w:spacing w:after="0" w:line="360" w:lineRule="auto"/>
        <w:ind w:left="851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Tercakup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dalam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pengertian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kekayaaan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rumah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tangga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adalah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kekayaan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rill (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rumah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tanah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mobil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)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financial (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deposito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berjangka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saham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surat-surat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berharga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).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Kekayaan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tersebut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dapat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meningkatkan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karena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menambah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pendapatan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disposable.</w:t>
      </w:r>
      <w:proofErr w:type="gramEnd"/>
    </w:p>
    <w:p w:rsidR="00972AC0" w:rsidRPr="00D152AC" w:rsidRDefault="00972AC0" w:rsidP="00972AC0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ind w:left="851" w:hanging="425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Tingkat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Bunga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 </w:t>
      </w: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Interest Rate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)</w:t>
      </w:r>
    </w:p>
    <w:p w:rsidR="00972AC0" w:rsidRPr="00D152AC" w:rsidRDefault="00972AC0" w:rsidP="00972AC0">
      <w:pPr>
        <w:shd w:val="clear" w:color="auto" w:fill="FFFFFF"/>
        <w:spacing w:after="0" w:line="360" w:lineRule="auto"/>
        <w:ind w:left="851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Tingkat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bunga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tinggi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dapat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mengurangi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keinginan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Dengan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bunga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tinggi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maka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biaya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ekonomi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</w:t>
      </w: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opportunity cost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)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dari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kegiatan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akan</w:t>
      </w:r>
      <w:proofErr w:type="spellEnd"/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semakin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mahal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Bagi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mereka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ingin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mengonsumsi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dengan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berutang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lastRenderedPageBreak/>
        <w:t>dahulu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misalnya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dengan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meminjam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dari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bank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atau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menggunakan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kartu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kredit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biaya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bunga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semakin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mahal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sehingga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lebih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baik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menunda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/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mengurangi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</w:p>
    <w:p w:rsidR="00972AC0" w:rsidRPr="00D152AC" w:rsidRDefault="00972AC0" w:rsidP="00972AC0">
      <w:pPr>
        <w:pStyle w:val="ListParagraph"/>
        <w:numPr>
          <w:ilvl w:val="1"/>
          <w:numId w:val="2"/>
        </w:numPr>
        <w:shd w:val="clear" w:color="auto" w:fill="FFFFFF"/>
        <w:spacing w:after="0" w:line="360" w:lineRule="auto"/>
        <w:ind w:left="851" w:hanging="425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Perkiraan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Tentang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Masa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Depan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</w:t>
      </w: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 xml:space="preserve">Household Expectation About </w:t>
      </w:r>
      <w:proofErr w:type="spellStart"/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TheFuture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)</w:t>
      </w:r>
    </w:p>
    <w:p w:rsidR="00972AC0" w:rsidRPr="00D152AC" w:rsidRDefault="00972AC0" w:rsidP="00972AC0">
      <w:pPr>
        <w:shd w:val="clear" w:color="auto" w:fill="FFFFFF"/>
        <w:spacing w:after="0" w:line="360" w:lineRule="auto"/>
        <w:ind w:left="851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Faktor-faktor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internal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dipergunakan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untuk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memperkirakan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prospek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masa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depan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rumah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tangga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antara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lain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pekerjaan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karier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gaji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menjanjikan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banyak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anggota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keluarga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bekerja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</w:p>
    <w:p w:rsidR="00972AC0" w:rsidRPr="00D152AC" w:rsidRDefault="00972AC0" w:rsidP="00972AC0">
      <w:pPr>
        <w:shd w:val="clear" w:color="auto" w:fill="FFFFFF"/>
        <w:spacing w:after="0" w:line="360" w:lineRule="auto"/>
        <w:ind w:left="426" w:firstLine="567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shd w:val="clear" w:color="auto" w:fill="FFFFFF"/>
        <w:spacing w:after="0" w:line="360" w:lineRule="auto"/>
        <w:ind w:left="426" w:firstLine="567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Sedangkan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faktor-faktor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eksternal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mempengaruhi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antara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lain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kondisi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perekonomian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domestic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internasional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jenis-jenis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arah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kebijakan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ekonomi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dijalankan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pemerintah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Cambria" w:eastAsia="Times New Roman" w:hAnsi="Cambria"/>
          <w:b/>
          <w:color w:val="000000"/>
          <w:sz w:val="24"/>
          <w:szCs w:val="24"/>
          <w:lang w:eastAsia="en-GB"/>
        </w:rPr>
      </w:pPr>
      <w:bookmarkStart w:id="0" w:name="more"/>
      <w:bookmarkEnd w:id="0"/>
      <w:proofErr w:type="spellStart"/>
      <w:r w:rsidRPr="00D152AC">
        <w:rPr>
          <w:rFonts w:ascii="Cambria" w:eastAsia="Times New Roman" w:hAnsi="Cambria"/>
          <w:b/>
          <w:color w:val="000000"/>
          <w:sz w:val="24"/>
          <w:szCs w:val="24"/>
          <w:lang w:eastAsia="en-GB"/>
        </w:rPr>
        <w:t>Faktor</w:t>
      </w:r>
      <w:proofErr w:type="spellEnd"/>
      <w:r w:rsidRPr="00D152AC">
        <w:rPr>
          <w:rFonts w:ascii="Cambria" w:eastAsia="Times New Roman" w:hAnsi="Cambria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color w:val="000000"/>
          <w:sz w:val="24"/>
          <w:szCs w:val="24"/>
          <w:lang w:eastAsia="en-GB"/>
        </w:rPr>
        <w:t>Demografi</w:t>
      </w:r>
      <w:proofErr w:type="spellEnd"/>
    </w:p>
    <w:p w:rsidR="00972AC0" w:rsidRPr="00D152AC" w:rsidRDefault="00972AC0" w:rsidP="00972AC0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851" w:hanging="425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Jumlah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Penduduk</w:t>
      </w:r>
      <w:proofErr w:type="spellEnd"/>
    </w:p>
    <w:p w:rsidR="00972AC0" w:rsidRPr="00D152AC" w:rsidRDefault="00972AC0" w:rsidP="00972AC0">
      <w:pPr>
        <w:shd w:val="clear" w:color="auto" w:fill="FFFFFF"/>
        <w:spacing w:after="0" w:line="360" w:lineRule="auto"/>
        <w:ind w:left="851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Jumlah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penduduk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banyak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akan</w:t>
      </w:r>
      <w:proofErr w:type="spellEnd"/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memperbesar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pengeluaran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secara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menyeluruh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walaupun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pengeluaran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rata-rata per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orang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atau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per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keluarga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relative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rendah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.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Pengeluaran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suatu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negara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akan</w:t>
      </w:r>
      <w:proofErr w:type="spellEnd"/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sangat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besar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bila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jumlah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penduduk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sangat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banyak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pendapatan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per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kapita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sangat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tinggi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</w:p>
    <w:p w:rsidR="00972AC0" w:rsidRPr="00D152AC" w:rsidRDefault="00972AC0" w:rsidP="00972AC0">
      <w:pPr>
        <w:pStyle w:val="ListParagraph"/>
        <w:numPr>
          <w:ilvl w:val="1"/>
          <w:numId w:val="1"/>
        </w:numPr>
        <w:shd w:val="clear" w:color="auto" w:fill="FFFFFF"/>
        <w:spacing w:after="0" w:line="360" w:lineRule="auto"/>
        <w:ind w:left="851" w:hanging="425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Komposisi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Penduduk</w:t>
      </w:r>
      <w:proofErr w:type="spellEnd"/>
    </w:p>
    <w:p w:rsidR="00972AC0" w:rsidRPr="00D152AC" w:rsidRDefault="00972AC0" w:rsidP="00972AC0">
      <w:pPr>
        <w:shd w:val="clear" w:color="auto" w:fill="FFFFFF"/>
        <w:spacing w:after="0" w:line="360" w:lineRule="auto"/>
        <w:ind w:firstLine="851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Pengaruh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komposisi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penduduk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terhadap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antara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lain :</w:t>
      </w:r>
      <w:proofErr w:type="gramEnd"/>
    </w:p>
    <w:p w:rsidR="00972AC0" w:rsidRPr="00D152AC" w:rsidRDefault="00972AC0" w:rsidP="00972AC0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ind w:left="1134" w:hanging="283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Makin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banyak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penduduk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berusia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kerja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atua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produktif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(15-64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tahun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),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makin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besar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.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Sebab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makin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banyak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penduduk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bekerja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penghasilan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juga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makin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besar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</w:p>
    <w:p w:rsidR="00972AC0" w:rsidRPr="00D152AC" w:rsidRDefault="00972AC0" w:rsidP="00972AC0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ind w:left="1134" w:hanging="283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Makin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tinggi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pendidikan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masyarakat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konsumsinya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juga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makin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tinggi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sebab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pada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saat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seseorang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atau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suatu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keluarga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makin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berpendidikan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tinggi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maka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kebutuhan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hidupnya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makin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banyak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</w:p>
    <w:p w:rsidR="00972AC0" w:rsidRPr="00D152AC" w:rsidRDefault="00972AC0" w:rsidP="00972AC0">
      <w:pPr>
        <w:pStyle w:val="ListParagraph"/>
        <w:numPr>
          <w:ilvl w:val="2"/>
          <w:numId w:val="1"/>
        </w:numPr>
        <w:shd w:val="clear" w:color="auto" w:fill="FFFFFF"/>
        <w:spacing w:after="0" w:line="360" w:lineRule="auto"/>
        <w:ind w:left="1134" w:hanging="283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Makin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banyak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penduduk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tinggal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wilayah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perkotaan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(urban),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pengeluaran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juga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semakin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tinggi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.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Sebab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umumnya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pola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hidup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masyarakat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perkotaan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lebih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konsumtif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disbanding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masyarakat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pedesaan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Cambria" w:eastAsia="Times New Roman" w:hAnsi="Cambria"/>
          <w:b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b/>
          <w:color w:val="000000"/>
          <w:sz w:val="24"/>
          <w:szCs w:val="24"/>
          <w:lang w:eastAsia="en-GB"/>
        </w:rPr>
        <w:t>Faktor-faktor</w:t>
      </w:r>
      <w:proofErr w:type="spellEnd"/>
      <w:r w:rsidRPr="00D152AC">
        <w:rPr>
          <w:rFonts w:ascii="Cambria" w:eastAsia="Times New Roman" w:hAnsi="Cambria"/>
          <w:b/>
          <w:color w:val="000000"/>
          <w:sz w:val="24"/>
          <w:szCs w:val="24"/>
          <w:lang w:eastAsia="en-GB"/>
        </w:rPr>
        <w:t xml:space="preserve"> Non </w:t>
      </w:r>
      <w:proofErr w:type="spellStart"/>
      <w:r w:rsidRPr="00D152AC">
        <w:rPr>
          <w:rFonts w:ascii="Cambria" w:eastAsia="Times New Roman" w:hAnsi="Cambria"/>
          <w:b/>
          <w:color w:val="000000"/>
          <w:sz w:val="24"/>
          <w:szCs w:val="24"/>
          <w:lang w:eastAsia="en-GB"/>
        </w:rPr>
        <w:t>Ekonomi</w:t>
      </w:r>
      <w:proofErr w:type="spellEnd"/>
    </w:p>
    <w:p w:rsidR="00972AC0" w:rsidRPr="00D152AC" w:rsidRDefault="00972AC0" w:rsidP="00972AC0">
      <w:pPr>
        <w:shd w:val="clear" w:color="auto" w:fill="FFFFFF"/>
        <w:spacing w:after="0" w:line="360" w:lineRule="auto"/>
        <w:ind w:left="426" w:firstLine="567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lastRenderedPageBreak/>
        <w:t>Faktor-faktor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non-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ekonomi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paling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berpengaruh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 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terhadap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besarnya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adalah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faktor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sosial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budaya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masyarakat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Misalnya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saja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berubahnya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pola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kebiasaan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perubahan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etika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tata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nilai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karena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ingin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meniru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kelompok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masyarakat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lain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dianggap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lebih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hebat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/ideal.</w:t>
      </w: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  <w:t>Teori</w:t>
      </w:r>
      <w:proofErr w:type="spellEnd"/>
      <w:r w:rsidRPr="00D152AC"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  <w:t xml:space="preserve"> Keynes </w:t>
      </w:r>
      <w:proofErr w:type="gramStart"/>
      <w:r w:rsidRPr="00D152AC"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  <w:t>( </w:t>
      </w:r>
      <w:r w:rsidRPr="00D152AC">
        <w:rPr>
          <w:rFonts w:ascii="Cambria" w:eastAsia="Times New Roman" w:hAnsi="Cambria"/>
          <w:b/>
          <w:bCs/>
          <w:i/>
          <w:iCs/>
          <w:color w:val="000000"/>
          <w:sz w:val="24"/>
          <w:szCs w:val="24"/>
          <w:lang w:eastAsia="en-GB"/>
        </w:rPr>
        <w:t>Keynesian</w:t>
      </w:r>
      <w:proofErr w:type="gramEnd"/>
      <w:r w:rsidRPr="00D152AC">
        <w:rPr>
          <w:rFonts w:ascii="Cambria" w:eastAsia="Times New Roman" w:hAnsi="Cambria"/>
          <w:b/>
          <w:bCs/>
          <w:i/>
          <w:iCs/>
          <w:color w:val="000000"/>
          <w:sz w:val="24"/>
          <w:szCs w:val="24"/>
          <w:lang w:eastAsia="en-GB"/>
        </w:rPr>
        <w:t xml:space="preserve"> Consumption Model</w:t>
      </w:r>
      <w:r w:rsidRPr="00D152AC"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  <w:t> )</w:t>
      </w:r>
    </w:p>
    <w:p w:rsidR="00972AC0" w:rsidRPr="00D152AC" w:rsidRDefault="00972AC0" w:rsidP="00972AC0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426" w:hanging="426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Hubungan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Pendapatan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Diposable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</w:p>
    <w:p w:rsidR="00972AC0" w:rsidRPr="00D152AC" w:rsidRDefault="00972AC0" w:rsidP="00972AC0">
      <w:pPr>
        <w:shd w:val="clear" w:color="auto" w:fill="FFFFFF"/>
        <w:spacing w:after="0" w:line="36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Keynes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menjelaskan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bahwa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saat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</w:t>
      </w: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current consumption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)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sangat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dipengaruhi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oleh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pendapatan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diposabel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saat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</w:t>
      </w: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 xml:space="preserve">current </w:t>
      </w:r>
      <w:proofErr w:type="spellStart"/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diposable</w:t>
      </w:r>
      <w:proofErr w:type="spellEnd"/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 xml:space="preserve"> income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).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Jika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pendapatan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disposabel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maka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juga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akan</w:t>
      </w:r>
      <w:proofErr w:type="spellEnd"/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Hanya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saja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peningkatan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tersebut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tidak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sebesar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peningkatan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pendapatan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diposabel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426" w:hanging="426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Kecenderungan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Mengonsumsi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Marjinal</w:t>
      </w:r>
      <w:proofErr w:type="spellEnd"/>
    </w:p>
    <w:p w:rsidR="00972AC0" w:rsidRPr="00D152AC" w:rsidRDefault="00972AC0" w:rsidP="00972AC0">
      <w:pPr>
        <w:shd w:val="clear" w:color="auto" w:fill="FFFFFF"/>
        <w:spacing w:after="0" w:line="36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Kecenderungan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mengonsumsi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marjinal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</w:t>
      </w:r>
      <w:r w:rsidRPr="00D152AC">
        <w:rPr>
          <w:rFonts w:ascii="Cambria" w:eastAsia="Times New Roman" w:hAnsi="Cambria"/>
          <w:i/>
          <w:iCs/>
          <w:color w:val="000000"/>
          <w:sz w:val="24"/>
          <w:szCs w:val="24"/>
          <w:lang w:eastAsia="en-GB"/>
        </w:rPr>
        <w:t>Marginal Propensity to Consume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disingkat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MPC)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adalah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konsep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memberikan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gambaran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tentang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berapa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akan</w:t>
      </w:r>
      <w:proofErr w:type="spellEnd"/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bertambah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bila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pendapatan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disposabel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bertambah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satu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unit.</w:t>
      </w: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426" w:hanging="426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Kecenderungan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Mengonsumsi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Rata-Rata</w:t>
      </w:r>
    </w:p>
    <w:p w:rsidR="00972AC0" w:rsidRPr="00D152AC" w:rsidRDefault="00972AC0" w:rsidP="00972AC0">
      <w:pPr>
        <w:shd w:val="clear" w:color="auto" w:fill="FFFFFF"/>
        <w:spacing w:after="0" w:line="36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Kecenderungan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mengonsumsi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rata-rata (</w:t>
      </w:r>
      <w:r w:rsidRPr="00D152AC">
        <w:rPr>
          <w:rFonts w:ascii="Cambria" w:eastAsia="Times New Roman" w:hAnsi="Cambria"/>
          <w:i/>
          <w:iCs/>
          <w:color w:val="000000"/>
          <w:sz w:val="24"/>
          <w:szCs w:val="24"/>
          <w:lang w:eastAsia="en-GB"/>
        </w:rPr>
        <w:t>Average Propensity to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i/>
          <w:iCs/>
          <w:color w:val="000000"/>
          <w:sz w:val="24"/>
          <w:szCs w:val="24"/>
          <w:lang w:eastAsia="en-GB"/>
        </w:rPr>
        <w:t>Consum</w:t>
      </w:r>
      <w:proofErr w:type="spellEnd"/>
      <w:r w:rsidRPr="00D152AC">
        <w:rPr>
          <w:rFonts w:ascii="Cambria" w:eastAsia="Times New Roman" w:hAnsi="Cambria"/>
          <w:i/>
          <w:iCs/>
          <w:color w:val="000000"/>
          <w:sz w:val="24"/>
          <w:szCs w:val="24"/>
          <w:lang w:eastAsia="en-GB"/>
        </w:rPr>
        <w:t>, 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disingkat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APC)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adalah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rasio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antara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total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dengan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pendapatan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disposabel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total.</w:t>
      </w: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426" w:hanging="426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Hubungan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Tabungan</w:t>
      </w:r>
    </w:p>
    <w:p w:rsidR="00972AC0" w:rsidRPr="00D152AC" w:rsidRDefault="00972AC0" w:rsidP="00972AC0">
      <w:pPr>
        <w:shd w:val="clear" w:color="auto" w:fill="FFFFFF"/>
        <w:spacing w:after="0" w:line="36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Pendapatan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disposabel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diterima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rumah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tangga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sebagian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besar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digunakan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untuk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sedangkan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sisanya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ditabung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Kita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juga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dapat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mengatakan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setiap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tambahan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penghasilan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disposabel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akan</w:t>
      </w:r>
      <w:proofErr w:type="spellEnd"/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dialokasikan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untuk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menambah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tabungan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Besarnya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tambahan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pendapatan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disposabel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 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menjadi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tambahan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tabungan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disebut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kecenderungan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menabung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marginal (</w:t>
      </w:r>
      <w:r w:rsidRPr="00D152AC">
        <w:rPr>
          <w:rFonts w:ascii="Cambria" w:eastAsia="Times New Roman" w:hAnsi="Cambria"/>
          <w:i/>
          <w:iCs/>
          <w:color w:val="000000"/>
          <w:sz w:val="24"/>
          <w:szCs w:val="24"/>
          <w:lang w:eastAsia="en-GB"/>
        </w:rPr>
        <w:t>Marginal Propensity to Save/MPS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).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Sedangkan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rasio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antara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tabungan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dengan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pendapatan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disposabel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disebut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kecenderungan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menabung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rata-rata (</w:t>
      </w:r>
      <w:proofErr w:type="spellStart"/>
      <w:r w:rsidRPr="00D152AC">
        <w:rPr>
          <w:rFonts w:ascii="Cambria" w:eastAsia="Times New Roman" w:hAnsi="Cambria"/>
          <w:i/>
          <w:iCs/>
          <w:color w:val="000000"/>
          <w:sz w:val="24"/>
          <w:szCs w:val="24"/>
          <w:lang w:eastAsia="en-GB"/>
        </w:rPr>
        <w:t>Avarage</w:t>
      </w:r>
      <w:proofErr w:type="spellEnd"/>
      <w:r w:rsidRPr="00D152AC">
        <w:rPr>
          <w:rFonts w:ascii="Cambria" w:eastAsia="Times New Roman" w:hAnsi="Cambria"/>
          <w:i/>
          <w:iCs/>
          <w:color w:val="000000"/>
          <w:sz w:val="24"/>
          <w:szCs w:val="24"/>
          <w:lang w:eastAsia="en-GB"/>
        </w:rPr>
        <w:t xml:space="preserve"> Propensity to Save/APS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)</w:t>
      </w: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  <w:t>Teori</w:t>
      </w:r>
      <w:proofErr w:type="spellEnd"/>
      <w:r w:rsidRPr="00D152AC"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  <w:t>Investasi</w:t>
      </w:r>
      <w:proofErr w:type="spellEnd"/>
    </w:p>
    <w:p w:rsidR="00972AC0" w:rsidRPr="00D152AC" w:rsidRDefault="00972AC0" w:rsidP="00972AC0">
      <w:pPr>
        <w:shd w:val="clear" w:color="auto" w:fill="FFFFFF"/>
        <w:spacing w:after="0" w:line="360" w:lineRule="auto"/>
        <w:ind w:firstLine="567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adalah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keputusan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menunda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konsumsi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sumber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atau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bagian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penghasilan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demi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meningkatkan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kemampuan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menambah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/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menciptakan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nilai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hidup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penghasilan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kekayaan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).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bukan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hanya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dalam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bentuk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fisik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melainkan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juga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non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fisik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,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terutama</w:t>
      </w:r>
      <w:proofErr w:type="spellEnd"/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peningkatan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kualitas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sumber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manusia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</w:p>
    <w:p w:rsidR="00972AC0" w:rsidRPr="00D152AC" w:rsidRDefault="00972AC0" w:rsidP="00972AC0">
      <w:pPr>
        <w:shd w:val="clear" w:color="auto" w:fill="FFFFFF"/>
        <w:spacing w:after="0" w:line="360" w:lineRule="auto"/>
        <w:ind w:firstLine="567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shd w:val="clear" w:color="auto" w:fill="FFFFFF"/>
        <w:spacing w:after="0" w:line="360" w:lineRule="auto"/>
        <w:ind w:firstLine="567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Dalam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teori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ekonomi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makro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dibahas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adalah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fisik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Dengan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pembatasan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tersebut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maka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definisi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dapat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lebih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dipertajam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sebagai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pengeluaran-pengeluaran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meningkatkan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stok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barang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modal.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Stok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barang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modal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adalah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jumlah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barang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modal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dalam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suatu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perekonomian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pada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saat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tertentu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426" w:hanging="426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Dalam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Bentuk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Barang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Modal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Bangunan</w:t>
      </w:r>
      <w:proofErr w:type="spellEnd"/>
    </w:p>
    <w:p w:rsidR="00972AC0" w:rsidRPr="00D152AC" w:rsidRDefault="00972AC0" w:rsidP="00972AC0">
      <w:pPr>
        <w:shd w:val="clear" w:color="auto" w:fill="FFFFFF"/>
        <w:spacing w:after="0" w:line="36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tercakup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dalam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barang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modal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bangunan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adalah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pengeluaran-pengeluaran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untuk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pembelian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pabrik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mesin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peralatan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produksi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bangunan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/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gedung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baru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Karena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tahan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madal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bangunan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umumnya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lebih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dari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setahun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seringkali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disebut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sebagai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dalam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bentuk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harta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tetap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</w:t>
      </w:r>
      <w:r w:rsidRPr="00D152AC">
        <w:rPr>
          <w:rFonts w:ascii="Cambria" w:eastAsia="Times New Roman" w:hAnsi="Cambria"/>
          <w:i/>
          <w:iCs/>
          <w:color w:val="000000"/>
          <w:sz w:val="24"/>
          <w:szCs w:val="24"/>
          <w:lang w:eastAsia="en-GB"/>
        </w:rPr>
        <w:t>fixed investment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).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</w:p>
    <w:p w:rsidR="00972AC0" w:rsidRPr="00D152AC" w:rsidRDefault="00972AC0" w:rsidP="00972AC0">
      <w:pPr>
        <w:shd w:val="clear" w:color="auto" w:fill="FFFFFF"/>
        <w:spacing w:after="0" w:line="36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Di Indonesia,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istilah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setara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dengan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fixed investment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adalah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pembentukan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modal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tetap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domestic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bruto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(PMTDB).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Supaya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lebih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akurat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jumlah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perlu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diperhatikan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adalah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bersih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yaitu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PMTDB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dikurangi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penyusutan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ind w:left="426" w:hanging="426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Persediaan</w:t>
      </w:r>
      <w:proofErr w:type="spellEnd"/>
    </w:p>
    <w:p w:rsidR="00972AC0" w:rsidRPr="00D152AC" w:rsidRDefault="00972AC0" w:rsidP="00972AC0">
      <w:pPr>
        <w:shd w:val="clear" w:color="auto" w:fill="FFFFFF"/>
        <w:spacing w:after="0" w:line="36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Perusahaan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seringkali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memproduksi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barang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lebih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banyak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daripada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target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penjualan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. </w:t>
      </w:r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Hal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dilakukan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untuk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mengantisipasi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berbagai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kemungkinan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Tentu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saja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persediaan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diharapkan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meningkatkan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penghasilan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/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keuntungan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Persediaan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barang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tersebut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dikatakan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sebagai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direncanakan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atau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diinginkan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karena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direncanakan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Selain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barang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jadi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dapat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juga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dilakukuan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dalam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bentuk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persediaan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barang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 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baku</w:t>
      </w:r>
      <w:proofErr w:type="spellEnd"/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 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setengah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jadi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  <w:lastRenderedPageBreak/>
        <w:t>Nilai</w:t>
      </w:r>
      <w:proofErr w:type="spellEnd"/>
      <w:r w:rsidRPr="00D152AC"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  <w:t>Waktu</w:t>
      </w:r>
      <w:proofErr w:type="spellEnd"/>
      <w:r w:rsidRPr="00D152AC"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  <w:t>dari</w:t>
      </w:r>
      <w:proofErr w:type="spellEnd"/>
      <w:r w:rsidRPr="00D152AC"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  <w:t>Uang</w:t>
      </w:r>
      <w:proofErr w:type="spellEnd"/>
    </w:p>
    <w:p w:rsidR="00972AC0" w:rsidRPr="00D152AC" w:rsidRDefault="00972AC0" w:rsidP="00972AC0">
      <w:pPr>
        <w:pStyle w:val="ListParagraph"/>
        <w:numPr>
          <w:ilvl w:val="2"/>
          <w:numId w:val="4"/>
        </w:numPr>
        <w:shd w:val="clear" w:color="auto" w:fill="FFFFFF"/>
        <w:spacing w:after="0" w:line="360" w:lineRule="auto"/>
        <w:ind w:left="426" w:hanging="426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Nilai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Sekarang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 </w:t>
      </w: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Present Value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 </w:t>
      </w:r>
      <w:r w:rsidRPr="00D152AC">
        <w:rPr>
          <w:rFonts w:ascii="Cambria" w:eastAsia="Times New Roman" w:hAnsi="Cambria"/>
          <w:bCs/>
          <w:color w:val="000000"/>
          <w:sz w:val="24"/>
          <w:szCs w:val="24"/>
          <w:lang w:eastAsia="en-GB"/>
        </w:rPr>
        <w:t>)</w:t>
      </w:r>
    </w:p>
    <w:p w:rsidR="00972AC0" w:rsidRPr="00D152AC" w:rsidRDefault="00972AC0" w:rsidP="00972AC0">
      <w:pPr>
        <w:shd w:val="clear" w:color="auto" w:fill="FFFFFF"/>
        <w:spacing w:after="0" w:line="36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Nilai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nominal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dari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sejumlah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mata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uang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belum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tentu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akan</w:t>
      </w:r>
      <w:proofErr w:type="spellEnd"/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lebih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berharga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dimasa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datang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. </w:t>
      </w:r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Hal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sangat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tergantung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dari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pengembalian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diinginkan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pStyle w:val="ListParagraph"/>
        <w:numPr>
          <w:ilvl w:val="2"/>
          <w:numId w:val="4"/>
        </w:numPr>
        <w:shd w:val="clear" w:color="auto" w:fill="FFFFFF"/>
        <w:spacing w:after="0" w:line="360" w:lineRule="auto"/>
        <w:ind w:left="426" w:hanging="426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Nilai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Masa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Mendatang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</w:t>
      </w: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Future Value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)</w:t>
      </w:r>
    </w:p>
    <w:p w:rsidR="00972AC0" w:rsidRPr="00D152AC" w:rsidRDefault="00972AC0" w:rsidP="00972AC0">
      <w:pPr>
        <w:shd w:val="clear" w:color="auto" w:fill="FFFFFF"/>
        <w:spacing w:after="0" w:line="36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Menghintung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nilai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masa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mendatang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adalah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kebalikan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dari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menghitung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nilai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sekarang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dari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output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direncanakan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.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Sekalipun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melihat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dari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sudut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pandang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bertolak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belakang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keputusan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dihasilkan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tetap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sama</w:t>
      </w:r>
      <w:proofErr w:type="spellEnd"/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  <w:t>KriteriaInvestasi</w:t>
      </w:r>
      <w:proofErr w:type="spellEnd"/>
    </w:p>
    <w:p w:rsidR="00972AC0" w:rsidRPr="00D152AC" w:rsidRDefault="00972AC0" w:rsidP="00972AC0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</w:pP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Payback Period</w:t>
      </w:r>
    </w:p>
    <w:p w:rsidR="00972AC0" w:rsidRPr="00D152AC" w:rsidRDefault="00972AC0" w:rsidP="00972AC0">
      <w:pPr>
        <w:shd w:val="clear" w:color="auto" w:fill="FFFFFF"/>
        <w:spacing w:after="0" w:line="36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Payback period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adalah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waktu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dibutuhkan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agar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direncanakan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dapat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dikembalikan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atau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waktu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dibutuhkan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untuk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mencapai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titik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impas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Jika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waktu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dibutuhkan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makin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pendek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proposal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dianggap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makin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baik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Kendatipun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demikian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kita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harus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berhati-hati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menafsirkan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kriteria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payback period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Sebab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ada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baru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menguntungkan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dalam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jangka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panjang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(&gt; 5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tahun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).</w:t>
      </w:r>
      <w:proofErr w:type="gramEnd"/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Benefit/Cost Ratio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(B/C Ratio)</w:t>
      </w:r>
    </w:p>
    <w:p w:rsidR="00972AC0" w:rsidRPr="00D152AC" w:rsidRDefault="00972AC0" w:rsidP="00972AC0">
      <w:pPr>
        <w:shd w:val="clear" w:color="auto" w:fill="FFFFFF"/>
        <w:spacing w:after="0" w:line="36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B/C ratio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mengukur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mana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lebih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besar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biaya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dikeluarkan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dibanding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hasil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</w:t>
      </w: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output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)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diperoleh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Biaya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dikeluarkan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dinotasikan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dengan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C (</w:t>
      </w: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cost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). </w:t>
      </w:r>
      <w:proofErr w:type="gramStart"/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Output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dihasilkan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dinotasikan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dengan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B (</w:t>
      </w: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benefit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).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Keputusan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menerima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atau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menolak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proposal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dapat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dilakukan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dengan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melihat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nilai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B/C.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Umumnya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proposal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baru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diterima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jika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B/C &gt; 1,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sebab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berarti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output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dihasilkan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lebih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besar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daripada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biaya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dikeluarkan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Net Present Value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(NPV)</w:t>
      </w:r>
    </w:p>
    <w:p w:rsidR="00972AC0" w:rsidRPr="00D152AC" w:rsidRDefault="00972AC0" w:rsidP="00972AC0">
      <w:pPr>
        <w:shd w:val="clear" w:color="auto" w:fill="FFFFFF"/>
        <w:spacing w:after="0" w:line="36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Perhitungan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dengan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menggunakan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nilai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nominal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dapat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menyesatkan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sebab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tidak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memperhitungkan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nilai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waktu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dari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uang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Untuk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membuat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hasil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lebih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akurat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maka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nilai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lastRenderedPageBreak/>
        <w:t>sekarang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didiskontokan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Keuntungan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dari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menggunakan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metode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diskonto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adalah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kita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dapat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langsung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menghitung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selisih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nilai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sekarang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dari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biaya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total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dengan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penerimaan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total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bersih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Selisih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inilah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disebut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net present value.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Suatu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proposal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akan</w:t>
      </w:r>
      <w:proofErr w:type="spellEnd"/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diterima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jika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NPV &gt; 0,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sebab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nilai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sekarang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dari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penerimaan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total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lebih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besar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daripada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nilai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sekarang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dari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biaya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total.</w:t>
      </w: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Internal Rate of Return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(IRR)</w:t>
      </w:r>
    </w:p>
    <w:p w:rsidR="00972AC0" w:rsidRPr="00D152AC" w:rsidRDefault="00972AC0" w:rsidP="00972AC0">
      <w:pPr>
        <w:shd w:val="clear" w:color="auto" w:fill="FFFFFF"/>
        <w:spacing w:after="0" w:line="36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Internal rate of return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adalah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nilai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pengembalian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dihitung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pada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saat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NPV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sama</w:t>
      </w:r>
      <w:proofErr w:type="spellEnd"/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dengan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nol.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Keputusan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menerima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/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menolak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rencana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dilakukan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berdasarkan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hasil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perbandingan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IRR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dengan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pengembalian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diinginkan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(r).</w:t>
      </w: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  <w:t>Faktor-faktoryang</w:t>
      </w:r>
      <w:proofErr w:type="spellEnd"/>
      <w:r w:rsidRPr="00D152AC"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  <w:t>Mempengaruhi</w:t>
      </w:r>
      <w:proofErr w:type="spellEnd"/>
      <w:r w:rsidRPr="00D152AC"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  <w:t xml:space="preserve"> Tingkat </w:t>
      </w:r>
      <w:proofErr w:type="spellStart"/>
      <w:r w:rsidRPr="00D152AC">
        <w:rPr>
          <w:rFonts w:ascii="Cambria" w:eastAsia="Times New Roman" w:hAnsi="Cambria"/>
          <w:b/>
          <w:bCs/>
          <w:color w:val="000000"/>
          <w:sz w:val="24"/>
          <w:szCs w:val="24"/>
          <w:lang w:eastAsia="en-GB"/>
        </w:rPr>
        <w:t>Investasi</w:t>
      </w:r>
      <w:proofErr w:type="spellEnd"/>
    </w:p>
    <w:p w:rsidR="00972AC0" w:rsidRPr="00D152AC" w:rsidRDefault="00972AC0" w:rsidP="00972AC0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Tingkat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Pengembalian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Diharapkan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</w:t>
      </w:r>
      <w:r w:rsidRPr="00D152AC">
        <w:rPr>
          <w:rFonts w:ascii="Cambria" w:eastAsia="Times New Roman" w:hAnsi="Cambria"/>
          <w:i/>
          <w:iCs/>
          <w:color w:val="000000"/>
          <w:sz w:val="24"/>
          <w:szCs w:val="24"/>
          <w:lang w:eastAsia="en-GB"/>
        </w:rPr>
        <w:t>Expected Rate of Return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)</w:t>
      </w:r>
    </w:p>
    <w:p w:rsidR="00972AC0" w:rsidRPr="00D152AC" w:rsidRDefault="00972AC0" w:rsidP="00972AC0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Kondisi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Internal Perusahaan</w:t>
      </w:r>
    </w:p>
    <w:p w:rsidR="00972AC0" w:rsidRPr="00D152AC" w:rsidRDefault="00972AC0" w:rsidP="00972AC0">
      <w:pPr>
        <w:shd w:val="clear" w:color="auto" w:fill="FFFFFF"/>
        <w:spacing w:after="0" w:line="360" w:lineRule="auto"/>
        <w:ind w:left="709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 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Kondisi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internal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adalah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faktor-faktor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berada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bawah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control Perusahaan,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seperti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efisiensi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kualitas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SDM 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teknologi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Sedangkan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faktor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non-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teknis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seperti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kepemilikkan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hak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atau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kekuatan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monopoli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kedekatan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dengan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pusat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kekuasaan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penguasaan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jalur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informasi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Kondisi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Eksternal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Perusahaan</w:t>
      </w:r>
    </w:p>
    <w:p w:rsidR="00972AC0" w:rsidRPr="00D152AC" w:rsidRDefault="00972AC0" w:rsidP="00972AC0">
      <w:pPr>
        <w:shd w:val="clear" w:color="auto" w:fill="FFFFFF"/>
        <w:spacing w:after="0" w:line="360" w:lineRule="auto"/>
        <w:ind w:left="709" w:firstLine="11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Kondisi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eksternal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perlu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dipertimbangkan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dalam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pengambilan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keputusan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akan</w:t>
      </w:r>
      <w:proofErr w:type="spellEnd"/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utama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adalah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perkiraan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tentang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produksi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pertumbuhan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ekonomi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domestic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maupun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internasional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Biaya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</w:p>
    <w:p w:rsidR="00972AC0" w:rsidRPr="00D152AC" w:rsidRDefault="00972AC0" w:rsidP="00972AC0">
      <w:pPr>
        <w:shd w:val="clear" w:color="auto" w:fill="FFFFFF"/>
        <w:spacing w:after="0" w:line="360" w:lineRule="auto"/>
        <w:ind w:left="426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Hal yang paling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menentukan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adalah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bunga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pinjaman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Makin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tinggi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bunganya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maka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biaya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makin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mahal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Akibatnya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minat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akan</w:t>
      </w:r>
      <w:proofErr w:type="spellEnd"/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makin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menurun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.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Namun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tidak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jarang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walaupun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bunga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pinjaman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rendah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minat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akan</w:t>
      </w:r>
      <w:proofErr w:type="spellEnd"/>
      <w:proofErr w:type="gram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tetap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rendah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. Hal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disebabkan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biaya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total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masih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tinggi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faktor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mempengaruhi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adalah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masalah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kelembagaan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.</w:t>
      </w: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972AC0" w:rsidRPr="00D152AC" w:rsidRDefault="00972AC0" w:rsidP="00972AC0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Marginal Efficiency of Capital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(MEC), Tingkat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Bunga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 xml:space="preserve">Marginal Efficiency of  </w:t>
      </w:r>
      <w:proofErr w:type="spellStart"/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Investement</w:t>
      </w:r>
      <w:proofErr w:type="spellEnd"/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 xml:space="preserve"> 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(MEI)</w:t>
      </w:r>
    </w:p>
    <w:p w:rsidR="00972AC0" w:rsidRPr="00D152AC" w:rsidRDefault="00972AC0" w:rsidP="00972AC0">
      <w:pPr>
        <w:pStyle w:val="ListParagraph"/>
        <w:numPr>
          <w:ilvl w:val="2"/>
          <w:numId w:val="3"/>
        </w:numPr>
        <w:shd w:val="clear" w:color="auto" w:fill="FFFFFF"/>
        <w:spacing w:after="0" w:line="360" w:lineRule="auto"/>
        <w:ind w:left="851" w:hanging="425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Marginal Efficiency of Capital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(MEC),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Investasi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,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Tingkat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Bunga</w:t>
      </w:r>
      <w:proofErr w:type="spellEnd"/>
    </w:p>
    <w:p w:rsidR="00972AC0" w:rsidRPr="00D152AC" w:rsidRDefault="00972AC0" w:rsidP="00972AC0">
      <w:pPr>
        <w:shd w:val="clear" w:color="auto" w:fill="FFFFFF"/>
        <w:spacing w:after="0" w:line="360" w:lineRule="auto"/>
        <w:ind w:left="851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proofErr w:type="gram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MEC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adalah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tingkat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pengembalian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yang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diharapkan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dari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setiap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tambahan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barang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modal.</w:t>
      </w:r>
      <w:proofErr w:type="gramEnd"/>
    </w:p>
    <w:p w:rsidR="00972AC0" w:rsidRPr="00D152AC" w:rsidRDefault="00972AC0" w:rsidP="00972AC0">
      <w:pPr>
        <w:pStyle w:val="ListParagraph"/>
        <w:numPr>
          <w:ilvl w:val="2"/>
          <w:numId w:val="3"/>
        </w:numPr>
        <w:shd w:val="clear" w:color="auto" w:fill="FFFFFF"/>
        <w:spacing w:after="0" w:line="360" w:lineRule="auto"/>
        <w:ind w:left="851" w:hanging="425"/>
        <w:jc w:val="both"/>
        <w:rPr>
          <w:rFonts w:ascii="Cambria" w:eastAsia="Times New Roman" w:hAnsi="Cambria"/>
          <w:color w:val="000000"/>
          <w:sz w:val="24"/>
          <w:szCs w:val="24"/>
          <w:lang w:eastAsia="en-GB"/>
        </w:rPr>
      </w:pP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 xml:space="preserve">Marginal </w:t>
      </w:r>
      <w:proofErr w:type="spellStart"/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Effeciency</w:t>
      </w:r>
      <w:proofErr w:type="spellEnd"/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 xml:space="preserve"> of Capital</w:t>
      </w:r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(MEC) </w:t>
      </w:r>
      <w:proofErr w:type="spellStart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>dan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</w:t>
      </w:r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 xml:space="preserve">Marginal Efficiency </w:t>
      </w:r>
      <w:proofErr w:type="spellStart"/>
      <w:r w:rsidRPr="00D152AC">
        <w:rPr>
          <w:rFonts w:ascii="Cambria" w:eastAsia="Times New Roman" w:hAnsi="Cambria"/>
          <w:i/>
          <w:color w:val="000000"/>
          <w:sz w:val="24"/>
          <w:szCs w:val="24"/>
          <w:lang w:eastAsia="en-GB"/>
        </w:rPr>
        <w:t>ofInvestment</w:t>
      </w:r>
      <w:proofErr w:type="spellEnd"/>
      <w:r w:rsidRPr="00D152AC">
        <w:rPr>
          <w:rFonts w:ascii="Cambria" w:eastAsia="Times New Roman" w:hAnsi="Cambria"/>
          <w:color w:val="000000"/>
          <w:sz w:val="24"/>
          <w:szCs w:val="24"/>
          <w:lang w:eastAsia="en-GB"/>
        </w:rPr>
        <w:t xml:space="preserve"> (MEI)</w:t>
      </w:r>
    </w:p>
    <w:p w:rsidR="00972AC0" w:rsidRPr="00D152AC" w:rsidRDefault="00972AC0" w:rsidP="00972AC0">
      <w:pPr>
        <w:shd w:val="clear" w:color="auto" w:fill="FFFFFF"/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en-GB"/>
        </w:rPr>
      </w:pPr>
    </w:p>
    <w:p w:rsidR="00A727F8" w:rsidRDefault="00A727F8"/>
    <w:sectPr w:rsidR="00A727F8" w:rsidSect="00A727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81" w:rsidRDefault="00A05381" w:rsidP="00A05381">
      <w:pPr>
        <w:spacing w:after="0" w:line="240" w:lineRule="auto"/>
      </w:pPr>
      <w:r>
        <w:separator/>
      </w:r>
    </w:p>
  </w:endnote>
  <w:endnote w:type="continuationSeparator" w:id="1">
    <w:p w:rsidR="00A05381" w:rsidRDefault="00A05381" w:rsidP="00A0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3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05381" w:rsidRDefault="00A05381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2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05381" w:rsidRDefault="00A053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81" w:rsidRDefault="00A05381" w:rsidP="00A05381">
      <w:pPr>
        <w:spacing w:after="0" w:line="240" w:lineRule="auto"/>
      </w:pPr>
      <w:r>
        <w:separator/>
      </w:r>
    </w:p>
  </w:footnote>
  <w:footnote w:type="continuationSeparator" w:id="1">
    <w:p w:rsidR="00A05381" w:rsidRDefault="00A05381" w:rsidP="00A0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D05"/>
    <w:multiLevelType w:val="hybridMultilevel"/>
    <w:tmpl w:val="D4D0C9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3B8"/>
    <w:multiLevelType w:val="hybridMultilevel"/>
    <w:tmpl w:val="88942812"/>
    <w:lvl w:ilvl="0" w:tplc="F7B6A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05F1"/>
    <w:multiLevelType w:val="hybridMultilevel"/>
    <w:tmpl w:val="86620400"/>
    <w:lvl w:ilvl="0" w:tplc="1B12C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111B2"/>
    <w:multiLevelType w:val="multilevel"/>
    <w:tmpl w:val="29CAA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F111D"/>
    <w:multiLevelType w:val="multilevel"/>
    <w:tmpl w:val="5290EE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E4786"/>
    <w:multiLevelType w:val="hybridMultilevel"/>
    <w:tmpl w:val="97B46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D4FF1A">
      <w:start w:val="1"/>
      <w:numFmt w:val="lowerLetter"/>
      <w:lvlText w:val="%2."/>
      <w:lvlJc w:val="left"/>
      <w:pPr>
        <w:ind w:left="1440" w:hanging="360"/>
      </w:pPr>
    </w:lvl>
    <w:lvl w:ilvl="2" w:tplc="753E518E">
      <w:start w:val="2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3" w:tplc="4C220B0E" w:tentative="1">
      <w:start w:val="1"/>
      <w:numFmt w:val="decimal"/>
      <w:lvlText w:val="%4."/>
      <w:lvlJc w:val="left"/>
      <w:pPr>
        <w:ind w:left="2880" w:hanging="360"/>
      </w:pPr>
    </w:lvl>
    <w:lvl w:ilvl="4" w:tplc="6352C820" w:tentative="1">
      <w:start w:val="1"/>
      <w:numFmt w:val="lowerLetter"/>
      <w:lvlText w:val="%5."/>
      <w:lvlJc w:val="left"/>
      <w:pPr>
        <w:ind w:left="3600" w:hanging="360"/>
      </w:pPr>
    </w:lvl>
    <w:lvl w:ilvl="5" w:tplc="FD949F80" w:tentative="1">
      <w:start w:val="1"/>
      <w:numFmt w:val="lowerRoman"/>
      <w:lvlText w:val="%6."/>
      <w:lvlJc w:val="right"/>
      <w:pPr>
        <w:ind w:left="4320" w:hanging="180"/>
      </w:pPr>
    </w:lvl>
    <w:lvl w:ilvl="6" w:tplc="9C4C9CD2" w:tentative="1">
      <w:start w:val="1"/>
      <w:numFmt w:val="decimal"/>
      <w:lvlText w:val="%7."/>
      <w:lvlJc w:val="left"/>
      <w:pPr>
        <w:ind w:left="5040" w:hanging="360"/>
      </w:pPr>
    </w:lvl>
    <w:lvl w:ilvl="7" w:tplc="A420F42E" w:tentative="1">
      <w:start w:val="1"/>
      <w:numFmt w:val="lowerLetter"/>
      <w:lvlText w:val="%8."/>
      <w:lvlJc w:val="left"/>
      <w:pPr>
        <w:ind w:left="5760" w:hanging="360"/>
      </w:pPr>
    </w:lvl>
    <w:lvl w:ilvl="8" w:tplc="48741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C4D0B"/>
    <w:multiLevelType w:val="hybridMultilevel"/>
    <w:tmpl w:val="24B0C20E"/>
    <w:lvl w:ilvl="0" w:tplc="AE6CD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678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DEC55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746E2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C7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E1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EA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04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42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5263851"/>
    <w:multiLevelType w:val="hybridMultilevel"/>
    <w:tmpl w:val="2FD68142"/>
    <w:lvl w:ilvl="0" w:tplc="F620D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463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0C610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565EB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20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CF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A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A4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D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DC4A5A"/>
    <w:multiLevelType w:val="multilevel"/>
    <w:tmpl w:val="A382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CB26ED"/>
    <w:multiLevelType w:val="hybridMultilevel"/>
    <w:tmpl w:val="A6966E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AC0"/>
    <w:rsid w:val="001D6651"/>
    <w:rsid w:val="002C543D"/>
    <w:rsid w:val="00366951"/>
    <w:rsid w:val="008F61BD"/>
    <w:rsid w:val="00972AC0"/>
    <w:rsid w:val="00A05381"/>
    <w:rsid w:val="00A7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C0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A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38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381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1482</Words>
  <Characters>8451</Characters>
  <Application>Microsoft Office Word</Application>
  <DocSecurity>0</DocSecurity>
  <Lines>70</Lines>
  <Paragraphs>19</Paragraphs>
  <ScaleCrop>false</ScaleCrop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2013-05-01T03:23:00Z</dcterms:created>
  <dcterms:modified xsi:type="dcterms:W3CDTF">2013-05-01T03:31:00Z</dcterms:modified>
</cp:coreProperties>
</file>