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D527DB" w:rsidRPr="00156CDC" w:rsidTr="00D527DB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27DB" w:rsidRPr="00414E8F" w:rsidRDefault="00D527DB" w:rsidP="00D527DB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ANA PEMBELAJARAN SEMESTER G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D527DB" w:rsidRPr="00156CDC" w:rsidTr="00D527DB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FAKULTAS HUKUM</w:t>
            </w:r>
          </w:p>
        </w:tc>
      </w:tr>
      <w:tr w:rsidR="00D527DB" w:rsidRPr="00156CDC" w:rsidTr="00D527DB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D527DB" w:rsidRPr="00156CDC" w:rsidTr="00D527DB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D527DB" w:rsidRPr="00156CDC" w:rsidTr="00D527DB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 Perdata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27DB" w:rsidRPr="00156CDC" w:rsidRDefault="00D527DB" w:rsidP="00790465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HKM 2</w:t>
            </w:r>
            <w:r w:rsidR="00790465">
              <w:rPr>
                <w:rFonts w:ascii="Segoe UI" w:hAnsi="Segoe UI" w:cs="Segoe UI"/>
                <w:sz w:val="22"/>
                <w:szCs w:val="22"/>
                <w:lang w:val="sv-SE"/>
              </w:rPr>
              <w:t>01</w:t>
            </w:r>
            <w:bookmarkStart w:id="0" w:name="_GoBack"/>
            <w:bookmarkEnd w:id="0"/>
          </w:p>
        </w:tc>
      </w:tr>
      <w:tr w:rsidR="00D527DB" w:rsidRPr="00156CDC" w:rsidTr="00D527DB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D527DB" w:rsidRPr="00156CDC" w:rsidTr="00D527DB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27DB" w:rsidRPr="006D2EA7" w:rsidRDefault="00D527DB" w:rsidP="00D527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Fitria Olivia, SH, MH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27DB" w:rsidRPr="006D2EA7" w:rsidRDefault="00D527DB" w:rsidP="00D527D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5080</w:t>
            </w:r>
          </w:p>
        </w:tc>
      </w:tr>
      <w:tr w:rsidR="00D527DB" w:rsidRPr="00156CDC" w:rsidTr="00D527DB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</w:t>
            </w:r>
          </w:p>
        </w:tc>
      </w:tr>
      <w:tr w:rsidR="00D527DB" w:rsidRPr="00156CDC" w:rsidTr="00D527DB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27DB" w:rsidRPr="00D527DB" w:rsidRDefault="00D527DB" w:rsidP="00D527DB">
            <w:pPr>
              <w:ind w:left="47" w:hanging="47"/>
              <w:jc w:val="both"/>
              <w:rPr>
                <w:rFonts w:ascii="Segoe UI" w:hAnsi="Segoe UI" w:cs="Segoe UI"/>
                <w:lang w:val="sv-SE"/>
              </w:rPr>
            </w:pPr>
            <w:r w:rsidRPr="007E4252">
              <w:rPr>
                <w:rFonts w:ascii="Segoe UI" w:hAnsi="Segoe UI" w:cs="Segoe UI"/>
                <w:sz w:val="22"/>
                <w:szCs w:val="22"/>
              </w:rPr>
              <w:t xml:space="preserve">Mata Kuliah ini memebahas tentang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pengantar hukum perdata secara mendasar diharapkan juga bisa menjelaskan tinjauan maupun pengertian umum hukum perdata yang berlaku dalam Kitab Undang-Undang Hukum Perdata di Indonesia baik dalam arti luas, sempit maupun formil serta materil dan asas-asas hukum perdata yang diatur dalam Kitab Undang-Undang Hukum Perdata.</w:t>
            </w:r>
          </w:p>
          <w:p w:rsidR="00D527DB" w:rsidRPr="00ED667C" w:rsidRDefault="00D527DB" w:rsidP="00D527DB">
            <w:pPr>
              <w:jc w:val="both"/>
            </w:pPr>
          </w:p>
        </w:tc>
      </w:tr>
      <w:tr w:rsidR="00D527DB" w:rsidRPr="00156CDC" w:rsidTr="00D527DB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dan 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>sejarah dan pengertian hukum perdata sert sumber hukum perdat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D527DB" w:rsidRPr="00D5687E" w:rsidRDefault="00D527DB" w:rsidP="00D527DB">
            <w:pPr>
              <w:tabs>
                <w:tab w:val="left" w:pos="252"/>
              </w:tabs>
              <w:jc w:val="center"/>
              <w:rPr>
                <w:rFonts w:ascii="Segoe UI" w:hAnsi="Segoe UI" w:cs="Segoe UI"/>
                <w:noProof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n,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Sejarah Hukum Perdata di Indonesia, Pengertian hukum Perdata, dan sumber hukum perdata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Surini Ahlan Sjarief, A.Budi Cahyono, ”Pokok-Pokok  Hukum Perdata” </w:t>
            </w:r>
          </w:p>
          <w:p w:rsidR="00D527DB" w:rsidRPr="00D527DB" w:rsidRDefault="00D527DB" w:rsidP="00D527D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D527DB" w:rsidRDefault="00D527DB" w:rsidP="00D527DB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tentang Sejarah Hukum Perdata di Indonesia, keadaan hukum perdata di Indonesia, Pengertian hukum Perdata, dan sumber hukum perdata</w:t>
            </w:r>
            <w:r w:rsidRPr="00156CDC">
              <w:rPr>
                <w:rFonts w:ascii="Segoe UI" w:hAnsi="Segoe UI" w:cs="Segoe UI"/>
                <w:lang w:val="id-ID"/>
              </w:rPr>
              <w:t xml:space="preserve"> 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27DB" w:rsidRPr="00411369" w:rsidRDefault="00D527DB" w:rsidP="00D527DB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Hukum Perdata dalam arti luas dan sempit, kedudukan hukum perdata serta sistematika hukum perdata</w:t>
            </w:r>
            <w:r w:rsidR="00411369" w:rsidRPr="0041136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faktor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penyebab berbhineka hukum perdata</w:t>
            </w:r>
          </w:p>
          <w:p w:rsidR="00D527DB" w:rsidRPr="00156CDC" w:rsidRDefault="00D527DB" w:rsidP="00D527DB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Default="00D527DB" w:rsidP="00D527DB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Hukum Perdata dalam arti luas dan sempit, kedudukan hukum perdata serta sistematika hukum perdata</w:t>
            </w:r>
          </w:p>
          <w:p w:rsidR="00D527DB" w:rsidRPr="00211FF5" w:rsidRDefault="00D527DB" w:rsidP="00D527DB">
            <w:pPr>
              <w:jc w:val="center"/>
              <w:rPr>
                <w:rFonts w:ascii="Segoe UI" w:hAnsi="Segoe UI" w:cs="Segoe UI"/>
                <w:noProof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4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Surini Ahlan Sjarief, A.Budi Cahyono, ”Pokok-Pokok  Hukum Perdata” </w:t>
            </w:r>
          </w:p>
          <w:p w:rsidR="00D527DB" w:rsidRPr="00D527DB" w:rsidRDefault="00D527DB" w:rsidP="00D527D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D527DB" w:rsidRDefault="00D527DB" w:rsidP="00D527DB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27DB" w:rsidRPr="00411369" w:rsidRDefault="00D527DB" w:rsidP="00D527DB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</w:rPr>
              <w:t>Hukum Perdata dalam arti luas dan sempit, kedudukan hukum perdata serta sistematika hukum perdata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faktor penyebab berbhineka hukum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perdata</w:t>
            </w:r>
          </w:p>
          <w:p w:rsidR="00D527DB" w:rsidRPr="00211FF5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  <w:p w:rsidR="00D527DB" w:rsidRPr="00414E8F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pemahaman mengenai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Hukum Orang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27DB" w:rsidRPr="00342170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Subyek Hukum (Buku I KUHPer)</w:t>
            </w:r>
          </w:p>
        </w:tc>
        <w:tc>
          <w:tcPr>
            <w:tcW w:w="2268" w:type="dxa"/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5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Surini Ahlan Sjarief, A.Budi Cahyono, ”Pokok-Pokok  Hukum Perdata” </w:t>
            </w:r>
          </w:p>
          <w:p w:rsidR="00D527DB" w:rsidRPr="00D527DB" w:rsidRDefault="00D527DB" w:rsidP="00D527D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CB1EFD" w:rsidRDefault="00D527DB" w:rsidP="00D527DB">
            <w:pPr>
              <w:pStyle w:val="ListParagraph"/>
              <w:tabs>
                <w:tab w:val="left" w:pos="252"/>
              </w:tabs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27DB" w:rsidRPr="00156CDC" w:rsidRDefault="00D527DB" w:rsidP="0041136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Subyek Hukum, kecakapan berbuat</w:t>
            </w:r>
            <w:r w:rsidR="00411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pengampuan, 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>dan perwalian</w:t>
            </w:r>
            <w:r w:rsidRPr="00156CDC">
              <w:rPr>
                <w:rFonts w:ascii="Segoe UI" w:hAnsi="Segoe UI" w:cs="Segoe UI"/>
                <w:lang w:val="id-ID"/>
              </w:rPr>
              <w:t xml:space="preserve"> 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2"/>
        </w:trPr>
        <w:tc>
          <w:tcPr>
            <w:tcW w:w="851" w:type="dxa"/>
            <w:shd w:val="clear" w:color="auto" w:fill="auto"/>
          </w:tcPr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Pr="00414E8F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pemahaman mengenai Hukum Orang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27DB" w:rsidRP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Keadaan tidak hadir</w:t>
            </w:r>
          </w:p>
        </w:tc>
        <w:tc>
          <w:tcPr>
            <w:tcW w:w="2268" w:type="dxa"/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6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Surini Ahlan Sjarief, A.Budi Cahyono, ”Pokok-Pokok  Hukum Perdata” </w:t>
            </w:r>
          </w:p>
          <w:p w:rsidR="00D527DB" w:rsidRPr="00D527DB" w:rsidRDefault="00D527DB" w:rsidP="00D527D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342170" w:rsidRDefault="00D527DB" w:rsidP="00D527DB">
            <w:pPr>
              <w:pStyle w:val="ListParagraph"/>
              <w:tabs>
                <w:tab w:val="left" w:pos="2560"/>
              </w:tabs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Keadaan tidak hadir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yang terdapat dalam pasal 463, 467, 484 dan 485 yaitu tahapan tindakan sementara, tahapan pernyataan barangkali meninggal dunia  dan tahapan pewarisan secara tetap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27DB" w:rsidRPr="00414E8F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Pr="00414E8F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27DB" w:rsidRPr="00AE7C6D" w:rsidRDefault="00D527DB" w:rsidP="00D527D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C16">
              <w:rPr>
                <w:rFonts w:ascii="Segoe UI" w:hAnsi="Segoe UI" w:cs="Segoe UI"/>
                <w:sz w:val="22"/>
                <w:szCs w:val="22"/>
              </w:rPr>
              <w:t>H</w:t>
            </w:r>
            <w:r>
              <w:rPr>
                <w:rFonts w:ascii="Segoe UI" w:hAnsi="Segoe UI" w:cs="Segoe UI"/>
                <w:sz w:val="22"/>
                <w:szCs w:val="22"/>
              </w:rPr>
              <w:t>ukum orang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27DB" w:rsidRPr="00CB1EFD" w:rsidRDefault="00D527DB" w:rsidP="00D527DB">
            <w:pPr>
              <w:jc w:val="center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Ketidakcakapan, Pendewasaan, Domisili dan Lembaga Catatan Sipil</w:t>
            </w:r>
          </w:p>
        </w:tc>
        <w:tc>
          <w:tcPr>
            <w:tcW w:w="2268" w:type="dxa"/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7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Surini Ahlan Sjarief, A.Budi Cahyono, ”Pokok-Pokok  Hukum Perdata” </w:t>
            </w:r>
          </w:p>
          <w:p w:rsidR="00D527DB" w:rsidRPr="00D527DB" w:rsidRDefault="00D527DB" w:rsidP="00D527D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D527DB" w:rsidRPr="00D527DB" w:rsidRDefault="00D527DB" w:rsidP="00D527D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CB1EFD" w:rsidRDefault="00D527DB" w:rsidP="00FB3C16">
            <w:pPr>
              <w:pStyle w:val="ListParagraph"/>
              <w:tabs>
                <w:tab w:val="left" w:pos="2560"/>
              </w:tabs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ketidakcakapan secara sungguh-sungguh dan ketidakcakapan menurut hukum, pendewasaan </w:t>
            </w:r>
            <w:r w:rsidR="00FB3C16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penuh/sempurna dan pendewasaan terbatas, struktur lembaga catatan sipil dalam pemerintahan serta peristiwa-peristiwa  yang dicatat oleh lembaga catatan sipil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27DB" w:rsidRPr="00414E8F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Pr="00414E8F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C16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Hukum keluarga</w:t>
            </w:r>
            <w:r w:rsid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(Buku I KUHper)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27DB" w:rsidRPr="00FB3C16" w:rsidRDefault="00593C5B" w:rsidP="00FB3C16">
            <w:pPr>
              <w:jc w:val="center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Hukum </w:t>
            </w:r>
            <w:r w:rsidR="00FB3C16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FB3C16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erkawinan</w:t>
            </w:r>
          </w:p>
        </w:tc>
        <w:tc>
          <w:tcPr>
            <w:tcW w:w="2268" w:type="dxa"/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8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FB3C16" w:rsidRPr="00D527DB" w:rsidRDefault="00FB3C16" w:rsidP="00FB3C16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FB3C16" w:rsidRPr="00D527DB" w:rsidRDefault="00FB3C16" w:rsidP="00FB3C16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FB3C16" w:rsidRPr="00D527DB" w:rsidRDefault="00FB3C16" w:rsidP="00FB3C16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FB3C16" w:rsidRDefault="00FB3C16" w:rsidP="00FB3C16">
            <w:pPr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4. UU No.1 Tahun 1974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527DB" w:rsidRPr="00FB3C16" w:rsidRDefault="00FB3C16" w:rsidP="00FB3C1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  <w:r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Pengertian  perkawinan menurut KUHPer dan UU No.1 Tahun 1974,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konsepsi perkawinan KUHPer dan UU No.1 Tahun 1974,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syarat-syarat sahnya perkawinan</w:t>
            </w:r>
            <w:r w:rsidRPr="00FB3C1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KUHPer dan UU No.1 Tahun 1974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527DB" w:rsidRPr="00156CDC" w:rsidRDefault="00D527DB" w:rsidP="00FB3C1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lanjutan </w:t>
            </w:r>
            <w:r w:rsidR="00FB3C16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Hukum keluarga</w:t>
            </w:r>
            <w:r w:rsid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(Buku I KUHper)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27DB" w:rsidRPr="00FB3C16" w:rsidRDefault="00FB3C16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Lanjutan </w:t>
            </w:r>
            <w:r w:rsidR="00593C5B">
              <w:rPr>
                <w:rFonts w:ascii="Segoe UI" w:hAnsi="Segoe UI" w:cs="Segoe UI"/>
              </w:rPr>
              <w:t xml:space="preserve">Hukum </w:t>
            </w:r>
            <w:r>
              <w:rPr>
                <w:rFonts w:ascii="Segoe UI" w:hAnsi="Segoe UI" w:cs="Segoe UI"/>
              </w:rPr>
              <w:t>Perkawinan</w:t>
            </w:r>
          </w:p>
        </w:tc>
        <w:tc>
          <w:tcPr>
            <w:tcW w:w="2268" w:type="dxa"/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9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FB3C16" w:rsidRPr="00D527DB" w:rsidRDefault="00FB3C16" w:rsidP="00FB3C16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FB3C16" w:rsidRPr="00D527DB" w:rsidRDefault="00FB3C16" w:rsidP="00FB3C16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FB3C16" w:rsidRPr="00D527DB" w:rsidRDefault="00FB3C16" w:rsidP="00FB3C16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FB3C16" w:rsidRDefault="00FB3C16" w:rsidP="00FB3C1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B3C16">
              <w:rPr>
                <w:rFonts w:ascii="Segoe UI" w:hAnsi="Segoe UI" w:cs="Segoe UI"/>
                <w:lang w:val="sv-SE"/>
              </w:rPr>
              <w:t>4. UU No.1 Tahun 1974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FB3C16" w:rsidRPr="00156CDC" w:rsidRDefault="00D527DB" w:rsidP="00FB3C16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  <w:r w:rsidR="00FB3C16">
              <w:rPr>
                <w:lang w:val="sv-SE"/>
              </w:rPr>
              <w:t xml:space="preserve"> </w:t>
            </w:r>
            <w:r w:rsidR="00FB3C16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pencegahan perkawinan, akibat perkawinan</w:t>
            </w:r>
            <w:r w:rsid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  <w:r w:rsidR="00FB3C16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, perwalian, pengampuan, putusnya perkawinan</w:t>
            </w:r>
            <w:r w:rsid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</w:p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527DB" w:rsidRPr="00342170" w:rsidRDefault="00D527DB" w:rsidP="00D527DB">
            <w:pPr>
              <w:jc w:val="center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593C5B">
              <w:rPr>
                <w:rFonts w:ascii="Segoe UI" w:hAnsi="Segoe UI" w:cs="Segoe UI"/>
                <w:sz w:val="22"/>
                <w:szCs w:val="22"/>
              </w:rPr>
              <w:t xml:space="preserve">pengertian hukum perdata, subyek hukum perdata, sumber hukum perdata, sistematik hukum perdata, hukum perkawinan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27DB" w:rsidRPr="00342170" w:rsidRDefault="00593C5B" w:rsidP="00D527DB">
            <w:pPr>
              <w:jc w:val="center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Review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perkuliahan 1 sampai perkuliahan 7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10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88704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88704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1.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Cahyono, ”Pokok-Pokok  Hukum Perdata” </w:t>
            </w:r>
          </w:p>
          <w:p w:rsidR="00593C5B" w:rsidRPr="00D527DB" w:rsidRDefault="00593C5B" w:rsidP="00593C5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593C5B" w:rsidRDefault="00593C5B" w:rsidP="00593C5B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593C5B">
              <w:rPr>
                <w:rFonts w:ascii="Segoe UI" w:hAnsi="Segoe UI" w:cs="Segoe UI"/>
                <w:lang w:val="sv-SE"/>
              </w:rPr>
              <w:t>4. UU No.1 Tahun 1974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527DB" w:rsidRDefault="00D527DB" w:rsidP="00D527DB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  <w:r w:rsidR="00593C5B">
              <w:rPr>
                <w:rFonts w:ascii="Segoe UI" w:hAnsi="Segoe UI" w:cs="Segoe UI"/>
                <w:sz w:val="22"/>
                <w:szCs w:val="22"/>
              </w:rPr>
              <w:lastRenderedPageBreak/>
              <w:t>pengertian hukum perdata, subyek hukum perdata, sumber hukum perdata, sistematik hukum perdata, hukum perkawinan</w:t>
            </w:r>
          </w:p>
          <w:p w:rsidR="00D527DB" w:rsidRPr="00156CDC" w:rsidRDefault="00D527DB" w:rsidP="00593C5B">
            <w:pPr>
              <w:jc w:val="both"/>
              <w:rPr>
                <w:rFonts w:ascii="Segoe UI" w:hAnsi="Segoe UI" w:cs="Segoe UI"/>
                <w:lang w:val="id-ID"/>
              </w:rPr>
            </w:pP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D527DB" w:rsidRPr="00156CDC" w:rsidRDefault="00D527DB" w:rsidP="00593C5B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593C5B">
              <w:rPr>
                <w:rFonts w:ascii="Segoe UI" w:hAnsi="Segoe UI" w:cs="Segoe UI"/>
                <w:sz w:val="22"/>
                <w:szCs w:val="22"/>
              </w:rPr>
              <w:t>Hukum Benda (Buku II KUHPer)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27DB" w:rsidRPr="004B4ACA" w:rsidRDefault="00593C5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Hukum Benda</w:t>
            </w:r>
          </w:p>
        </w:tc>
        <w:tc>
          <w:tcPr>
            <w:tcW w:w="2268" w:type="dxa"/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11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593C5B" w:rsidRPr="00D527DB" w:rsidRDefault="00593C5B" w:rsidP="00593C5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593C5B" w:rsidRDefault="00D527DB" w:rsidP="00593C5B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Menguraikan </w:t>
            </w:r>
          </w:p>
          <w:p w:rsidR="00D527DB" w:rsidRPr="00593C5B" w:rsidRDefault="00593C5B" w:rsidP="00D527DB">
            <w:pPr>
              <w:rPr>
                <w:rFonts w:ascii="Segoe UI" w:hAnsi="Segoe UI" w:cs="Segoe UI"/>
                <w:lang w:val="id-ID"/>
              </w:rPr>
            </w:pPr>
            <w:r>
              <w:rPr>
                <w:lang w:val="sv-SE"/>
              </w:rPr>
              <w:t xml:space="preserve"> </w:t>
            </w: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Pengertian benda, pembedaan benda, benda bergerak, dan benda tidak bergerak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Pr="00FD7683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593C5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593C5B">
              <w:rPr>
                <w:rFonts w:ascii="Segoe UI" w:hAnsi="Segoe UI" w:cs="Segoe UI"/>
                <w:sz w:val="22"/>
                <w:szCs w:val="22"/>
              </w:rPr>
              <w:t>Hukum Benda (lanjutan)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4B4ACA" w:rsidRDefault="00593C5B" w:rsidP="00D527DB">
            <w:pPr>
              <w:jc w:val="center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Lanjutan Hukum Benda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12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593C5B" w:rsidRPr="00D527DB" w:rsidRDefault="00593C5B" w:rsidP="00593C5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4B4ACA" w:rsidRDefault="00D527DB" w:rsidP="00593C5B">
            <w:pPr>
              <w:pStyle w:val="ListParagraph"/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27DB" w:rsidRDefault="00D527DB" w:rsidP="00D527DB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Menguraikan</w:t>
            </w:r>
          </w:p>
          <w:p w:rsidR="00F231C6" w:rsidRPr="00F231C6" w:rsidRDefault="00593C5B" w:rsidP="00F231C6">
            <w:pPr>
              <w:jc w:val="both"/>
              <w:rPr>
                <w:rFonts w:ascii="Segoe UI" w:hAnsi="Segoe UI" w:cs="Segoe UI"/>
                <w:lang w:val="id-ID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Hak Kebendaan, </w:t>
            </w:r>
            <w:r w:rsidR="00F231C6" w:rsidRPr="00F231C6">
              <w:rPr>
                <w:rFonts w:ascii="Segoe UI" w:hAnsi="Segoe UI" w:cs="Segoe UI"/>
                <w:sz w:val="22"/>
                <w:szCs w:val="22"/>
              </w:rPr>
              <w:t>Penyerahan Benda Tidak Berwujud Berupa Piutang Dan Hak-Hak</w:t>
            </w:r>
            <w:r w:rsidR="00F231C6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231C6" w:rsidRPr="00F231C6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D527DB" w:rsidRPr="00593C5B" w:rsidRDefault="00593C5B" w:rsidP="00D527DB">
            <w:pPr>
              <w:rPr>
                <w:rFonts w:ascii="Segoe UI" w:hAnsi="Segoe UI" w:cs="Segoe UI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593C5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mengenai </w:t>
            </w:r>
            <w:r w:rsid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93C5B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Hukum Waris</w:t>
            </w:r>
            <w:r w:rsid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(Buku II KUHPer)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4B4ACA" w:rsidRDefault="00593C5B" w:rsidP="00D527DB">
            <w:pPr>
              <w:jc w:val="center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Hukum Waris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527DB" w:rsidRPr="00156CDC" w:rsidRDefault="00D527DB" w:rsidP="00D527DB">
            <w:pPr>
              <w:numPr>
                <w:ilvl w:val="0"/>
                <w:numId w:val="13"/>
              </w:num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1. 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593C5B" w:rsidRPr="00D527DB" w:rsidRDefault="00593C5B" w:rsidP="00593C5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2. Prof. R. Subekti, ”Pokok-pokok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593C5B" w:rsidRDefault="00D527DB" w:rsidP="00593C5B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27DB" w:rsidRPr="00F668D4" w:rsidRDefault="00D527DB" w:rsidP="00D527DB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Menguraikan </w:t>
            </w:r>
          </w:p>
          <w:p w:rsidR="00D527DB" w:rsidRPr="00593C5B" w:rsidRDefault="00593C5B" w:rsidP="00F621AA">
            <w:pPr>
              <w:rPr>
                <w:rFonts w:ascii="Segoe UI" w:hAnsi="Segoe UI" w:cs="Segoe UI"/>
                <w:lang w:val="es-ES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waris, </w:t>
            </w:r>
            <w:r w:rsidR="00F231C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unsur kewarisan, unsur hukum waris, </w:t>
            </w:r>
            <w:r w:rsidR="00F231C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cara mewaris, prinsip pewarisan beserta </w:t>
            </w: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Pr="00FD7683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593C5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="00593C5B">
              <w:rPr>
                <w:rFonts w:ascii="Segoe UI" w:hAnsi="Segoe UI" w:cs="Segoe UI"/>
                <w:sz w:val="22"/>
                <w:szCs w:val="22"/>
              </w:rPr>
              <w:t xml:space="preserve"> Hukum Waris (lanjutan)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4B4ACA" w:rsidRDefault="00593C5B" w:rsidP="00D527DB">
            <w:pPr>
              <w:jc w:val="center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Lanjutan Hukum Waris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7DB" w:rsidRPr="00AE7C6D" w:rsidRDefault="00D527DB" w:rsidP="00D527DB">
            <w:pPr>
              <w:numPr>
                <w:ilvl w:val="0"/>
                <w:numId w:val="14"/>
              </w:numPr>
              <w:ind w:left="459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27DB" w:rsidRPr="00156CDC" w:rsidRDefault="00D527DB" w:rsidP="00D527DB">
            <w:pPr>
              <w:numPr>
                <w:ilvl w:val="0"/>
                <w:numId w:val="14"/>
              </w:numPr>
              <w:ind w:left="459"/>
              <w:rPr>
                <w:rFonts w:ascii="Segoe UI" w:hAnsi="Segoe UI" w:cs="Segoe UI"/>
                <w:i/>
                <w:iCs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593C5B" w:rsidRPr="00D527DB" w:rsidRDefault="00593C5B" w:rsidP="00593C5B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593C5B" w:rsidRPr="00D527DB" w:rsidRDefault="00593C5B" w:rsidP="00593C5B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593C5B" w:rsidRDefault="00D527DB" w:rsidP="00593C5B">
            <w:pPr>
              <w:jc w:val="both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menguraikan </w:t>
            </w:r>
          </w:p>
          <w:p w:rsidR="00D527DB" w:rsidRPr="00593C5B" w:rsidRDefault="00593C5B" w:rsidP="00411369">
            <w:pPr>
              <w:rPr>
                <w:rFonts w:ascii="Segoe UI" w:hAnsi="Segoe UI" w:cs="Segoe UI"/>
                <w:lang w:val="id-ID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Asas pewarisan</w:t>
            </w:r>
            <w:r w:rsidR="00F231C6">
              <w:rPr>
                <w:rFonts w:ascii="Segoe UI" w:hAnsi="Segoe UI" w:cs="Segoe UI"/>
                <w:sz w:val="22"/>
                <w:szCs w:val="22"/>
                <w:lang w:val="sv-SE"/>
              </w:rPr>
              <w:t>, syarat-syarat mewaris, prinsip ahli waris</w:t>
            </w: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undang-undang,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Penggolongan ahli waris</w:t>
            </w:r>
            <w:r w:rsidR="00411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macam-macam </w:t>
            </w: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wasiat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Legitieme Portie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461545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0B2D9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pemahaman mengenai </w:t>
            </w:r>
            <w:r w:rsidR="00F231C6">
              <w:rPr>
                <w:rFonts w:ascii="Segoe UI" w:hAnsi="Segoe UI" w:cs="Segoe UI"/>
                <w:sz w:val="22"/>
                <w:szCs w:val="22"/>
              </w:rPr>
              <w:t>Hukum Perikatan (Buku</w:t>
            </w:r>
            <w:r w:rsidR="000B2D9C">
              <w:rPr>
                <w:rFonts w:ascii="Segoe UI" w:hAnsi="Segoe UI" w:cs="Segoe UI"/>
                <w:sz w:val="22"/>
                <w:szCs w:val="22"/>
              </w:rPr>
              <w:t xml:space="preserve"> III KUHPer)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F668D4" w:rsidRDefault="000B2D9C" w:rsidP="00D527DB">
            <w:pPr>
              <w:jc w:val="center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Hukum Perik</w:t>
            </w:r>
            <w:r w:rsidR="00F231C6">
              <w:rPr>
                <w:rFonts w:ascii="Segoe UI" w:hAnsi="Segoe UI" w:cs="Segoe UI"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tan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7DB" w:rsidRPr="00AE7C6D" w:rsidRDefault="00D527DB" w:rsidP="00D527D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27DB" w:rsidRPr="00AE7C6D" w:rsidRDefault="00D527DB" w:rsidP="00D527D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D9C" w:rsidRPr="00D527DB" w:rsidRDefault="000B2D9C" w:rsidP="000B2D9C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0B2D9C" w:rsidRPr="00D527DB" w:rsidRDefault="000B2D9C" w:rsidP="000B2D9C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0B2D9C" w:rsidRPr="00D527DB" w:rsidRDefault="000B2D9C" w:rsidP="000B2D9C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3. Kitab Undang-Undang Hukum Perdata/BW</w:t>
            </w:r>
          </w:p>
          <w:p w:rsidR="00D527DB" w:rsidRPr="00DE0230" w:rsidRDefault="00D527DB" w:rsidP="00D527DB">
            <w:pPr>
              <w:pStyle w:val="ListParagraph"/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411369">
            <w:pPr>
              <w:spacing w:before="100" w:beforeAutospacing="1" w:after="100" w:afterAutospacing="1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Mampu menguraikan </w:t>
            </w:r>
            <w:r w:rsidRPr="00DE0230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0B2D9C">
              <w:rPr>
                <w:rFonts w:ascii="Segoe UI" w:hAnsi="Segoe UI" w:cs="Segoe UI"/>
                <w:sz w:val="22"/>
                <w:szCs w:val="22"/>
              </w:rPr>
              <w:t xml:space="preserve">Perikatan, membedakan antara perjanjian dan perikatan, </w:t>
            </w:r>
            <w:r w:rsidR="00411369" w:rsidRPr="00411369">
              <w:rPr>
                <w:rFonts w:ascii="Segoe UI" w:hAnsi="Segoe UI" w:cs="Segoe UI"/>
                <w:bCs/>
                <w:sz w:val="22"/>
                <w:szCs w:val="22"/>
              </w:rPr>
              <w:t>Tempat Pengaturan dan Sistem Hukum Perikatan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, unsur-unsur perikatan, 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0B2D9C">
              <w:rPr>
                <w:rFonts w:ascii="Segoe UI" w:hAnsi="Segoe UI" w:cs="Segoe UI"/>
                <w:sz w:val="22"/>
                <w:szCs w:val="22"/>
              </w:rPr>
              <w:t>sumber perikatan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D527DB" w:rsidRPr="00156CDC" w:rsidTr="00D52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Pr="00FD7683" w:rsidRDefault="00D527DB" w:rsidP="00D527D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527DB" w:rsidRPr="00156CDC" w:rsidRDefault="00D527DB" w:rsidP="000B2D9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231C6">
              <w:rPr>
                <w:rFonts w:ascii="Segoe UI" w:hAnsi="Segoe UI" w:cs="Segoe UI"/>
                <w:sz w:val="22"/>
                <w:szCs w:val="22"/>
                <w:lang w:val="sv-SE"/>
              </w:rPr>
              <w:t>Hukum Perikatan (lanjutan)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7DB" w:rsidRPr="00DE0230" w:rsidRDefault="00F231C6" w:rsidP="00D527DB">
            <w:pPr>
              <w:jc w:val="center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Lanjutan Hukum Perikatan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527DB" w:rsidRPr="00AE7C6D" w:rsidRDefault="00D527DB" w:rsidP="00D527DB">
            <w:pPr>
              <w:numPr>
                <w:ilvl w:val="0"/>
                <w:numId w:val="32"/>
              </w:numPr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D527DB" w:rsidRPr="00156CDC" w:rsidRDefault="00D527DB" w:rsidP="00D527DB">
            <w:pPr>
              <w:ind w:left="318"/>
              <w:rPr>
                <w:rFonts w:ascii="Segoe UI" w:hAnsi="Segoe UI" w:cs="Segoe UI"/>
                <w:i/>
                <w:iCs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D9C" w:rsidRPr="00D527DB" w:rsidRDefault="000B2D9C" w:rsidP="000B2D9C">
            <w:pPr>
              <w:ind w:hanging="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1. 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Surini Ahlan Sjarief, A.Budi Cahyono, ”Pokok-Pokok  Hukum Perdata” </w:t>
            </w:r>
          </w:p>
          <w:p w:rsidR="000B2D9C" w:rsidRPr="00D527DB" w:rsidRDefault="000B2D9C" w:rsidP="000B2D9C">
            <w:pPr>
              <w:tabs>
                <w:tab w:val="left" w:pos="6120"/>
              </w:tabs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2. Prof. R. Subekti, ”Pokok-pokok Hukum Perdata”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ab/>
            </w:r>
          </w:p>
          <w:p w:rsidR="000B2D9C" w:rsidRPr="00D527DB" w:rsidRDefault="000B2D9C" w:rsidP="000B2D9C">
            <w:pPr>
              <w:ind w:hanging="9"/>
              <w:rPr>
                <w:rFonts w:ascii="Segoe UI" w:hAnsi="Segoe UI" w:cs="Segoe UI"/>
                <w:lang w:val="sv-SE"/>
              </w:rPr>
            </w:pP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3. Kitab Undang-Undang Hukum </w:t>
            </w:r>
            <w:r w:rsidRPr="00D527D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Perdata/BW</w:t>
            </w:r>
          </w:p>
          <w:p w:rsidR="00D527DB" w:rsidRPr="00DE0230" w:rsidRDefault="00D527DB" w:rsidP="00D527DB">
            <w:pPr>
              <w:pStyle w:val="ListParagraph"/>
              <w:ind w:left="318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1369" w:rsidRPr="00411369" w:rsidRDefault="00D527DB" w:rsidP="00411369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menguraikan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macam-macam perjanjian, macam-macam perikatan, asas-asas dalam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perikatan, berakhirnya perikatan </w:t>
            </w:r>
          </w:p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</w:tr>
    </w:tbl>
    <w:p w:rsidR="00D527DB" w:rsidRDefault="00D527DB" w:rsidP="00D527DB"/>
    <w:p w:rsidR="00D527DB" w:rsidRDefault="00D527DB" w:rsidP="00D527DB"/>
    <w:p w:rsidR="00D527DB" w:rsidRPr="000A7333" w:rsidRDefault="00D527DB" w:rsidP="00D527D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D527DB" w:rsidRDefault="00D527DB" w:rsidP="00D527DB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D527DB" w:rsidRPr="00156CDC" w:rsidTr="00D527DB">
        <w:tc>
          <w:tcPr>
            <w:tcW w:w="802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D527DB" w:rsidRPr="007118DD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11369" w:rsidRDefault="00D527DB" w:rsidP="00411369">
            <w:pPr>
              <w:jc w:val="both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411369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Sejarah Hukum Perdata di Indonesia, keadaan hukum perdata di Indonesia, Pengertian hukum Perdata, dan sumber hukum perdata</w:t>
            </w:r>
          </w:p>
          <w:p w:rsidR="00D527DB" w:rsidRPr="00DE0230" w:rsidRDefault="00D527DB" w:rsidP="00D527D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benar, serta memberikan contohnya.</w:t>
            </w:r>
          </w:p>
        </w:tc>
        <w:tc>
          <w:tcPr>
            <w:tcW w:w="1843" w:type="dxa"/>
          </w:tcPr>
          <w:p w:rsidR="00D527DB" w:rsidRPr="00156CDC" w:rsidRDefault="00D527DB" w:rsidP="00411369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411369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Sejarah Hukum Perdata di Indonesia, keadaan hukum perdata di Indonesia, Pengertian hukum Perdata, dan sumber hukum perdata</w:t>
            </w:r>
            <w:r w:rsidR="00411369" w:rsidRPr="00156CDC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411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baik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benar.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11369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Sejarah Hukum Perdata di Indonesia, keadaan hukum perdata di Indonesia, Pengertian hukum Perdata, dan sumber hukum perdata</w:t>
            </w:r>
            <w:r w:rsidR="00411369" w:rsidRPr="00156CDC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211FF5" w:rsidRDefault="00D527DB" w:rsidP="00D527DB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11369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Sejarah Hukum Perdata di Indonesia, keadaan hukum perdata di Indonesia</w:t>
            </w:r>
            <w:r w:rsidR="00411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D527DB" w:rsidRPr="00156CDC" w:rsidRDefault="00D527DB" w:rsidP="00411369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11369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Sejarah Hukum Perdata di Indonesia, keadaan hukum perdata di Indonesia, Pengertian hukum Perdata, dan sumber hukum perdata</w:t>
            </w:r>
            <w:r w:rsidR="00411369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D527DB" w:rsidRPr="007118DD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11369" w:rsidRPr="00411369" w:rsidRDefault="00D527DB" w:rsidP="00411369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pemahaman 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Hukum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Perdata dalam arti luas dan sempit, kedudukan hukum perdata serta sistematika hukum perdata,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faktor penyebab berbhineka hukum perdata</w:t>
            </w:r>
          </w:p>
          <w:p w:rsidR="00D527DB" w:rsidRPr="00156CDC" w:rsidRDefault="00D527DB" w:rsidP="00D527DB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411369" w:rsidRPr="00411369" w:rsidRDefault="00D527DB" w:rsidP="00411369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 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mengenai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Hukum Perdata dalam arti luas dan sempit, kedudukan hukum perdata serta sistematika hukum perdata,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faktor penyebab berbhineka hukum perdata</w:t>
            </w:r>
          </w:p>
          <w:p w:rsidR="00D527DB" w:rsidRDefault="00D527DB" w:rsidP="00D527DB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</w:t>
            </w:r>
          </w:p>
          <w:p w:rsidR="00D527DB" w:rsidRDefault="00D527DB" w:rsidP="00D527DB">
            <w:pPr>
              <w:rPr>
                <w:rFonts w:ascii="Segoe UI" w:hAnsi="Segoe UI" w:cs="Segoe UI"/>
                <w:lang w:val="fi-FI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411369" w:rsidRPr="00411369" w:rsidRDefault="00D527DB" w:rsidP="00411369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Hukum Perdata dalam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arti luas dan sempit, kedudukan hukum perdata serta sistematika hukum perdata,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faktor penyebab berbhineka hukum perdata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411369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Hukum Perdata dalam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lastRenderedPageBreak/>
              <w:t>arti luas dan sempit, kedudukan hukum perdata dengan benar</w:t>
            </w:r>
          </w:p>
        </w:tc>
        <w:tc>
          <w:tcPr>
            <w:tcW w:w="1701" w:type="dxa"/>
          </w:tcPr>
          <w:p w:rsidR="00411369" w:rsidRPr="00411369" w:rsidRDefault="00D527DB" w:rsidP="00411369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 w:rsidR="0041136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t xml:space="preserve">Hukum Perdata dalam arti luas dan </w:t>
            </w:r>
            <w:r w:rsidR="0041136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sempit, kedudukan hukum perdata serta sistematika hukum perdata, </w:t>
            </w:r>
            <w:r w:rsidR="00411369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faktor penyebab berbhineka hukum perdata</w:t>
            </w:r>
          </w:p>
          <w:p w:rsidR="00D527DB" w:rsidRPr="00156CDC" w:rsidRDefault="00D527DB" w:rsidP="00411369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134" w:type="dxa"/>
          </w:tcPr>
          <w:p w:rsidR="00D527DB" w:rsidRPr="00156CDC" w:rsidRDefault="00D527DB" w:rsidP="00D527DB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527DB" w:rsidRPr="00156CDC" w:rsidTr="00D527DB">
        <w:tc>
          <w:tcPr>
            <w:tcW w:w="80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Subyek Hukum, kecakapan berbuat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>, pengampuan, dan perwalian</w:t>
            </w:r>
            <w:r w:rsidR="00EB5D13" w:rsidRPr="00156CDC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Subyek Hukum, kecakapan berbuat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>, pengampuan, dan perwalian</w:t>
            </w:r>
            <w:r w:rsidR="00EB5D13" w:rsidRPr="00156CDC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Subyek Hukum, kecakapan berbuat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>, pengampuan, dan perwalian</w:t>
            </w:r>
            <w:r w:rsidR="00EB5D13" w:rsidRPr="00156CDC"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</w:tc>
        <w:tc>
          <w:tcPr>
            <w:tcW w:w="1701" w:type="dxa"/>
          </w:tcPr>
          <w:p w:rsidR="00D527DB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Subyek Hukum, kecakapan berbuat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>, pengampuan 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342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527DB" w:rsidRPr="00342170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Subyek Hukum, kecakapan berbuat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>, pengampuan, dan perwalian dengan benar</w:t>
            </w:r>
          </w:p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D527DB" w:rsidRPr="007118DD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EB5D13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Keadaan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tidak hadir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yang terdapat dalam pasal 463, 467, 484 dan 485 yaitu tahapan tindakan sementara, tahapan pernyataan barangkali meninggal dunia  dan tahapan pewarisan secara tetap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 yang relevan </w:t>
            </w:r>
          </w:p>
        </w:tc>
        <w:tc>
          <w:tcPr>
            <w:tcW w:w="1843" w:type="dxa"/>
          </w:tcPr>
          <w:p w:rsidR="00EB5D13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mengenai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Keadaan tidak hadir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yang terdapat dalam pasal 463, 467, 484 dan 485 yaitu tahapan tindakan sementara, tahapan pernyataan barangkali meninggal dunia  dan tahapan pewarisan secara tetap</w:t>
            </w:r>
          </w:p>
          <w:p w:rsidR="00D527DB" w:rsidRPr="000E77B4" w:rsidRDefault="00D527DB" w:rsidP="00D527DB">
            <w:pPr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B5D13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Keadaan tidak hadir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KUHPer yang terdapat dalam pasal 463, 467, 484 dan 485 yaitu tahapan tindakan sementara, tahapan pernyataan barangkali meninggal dunia  dan tahapan pewarisan secara tetap</w:t>
            </w:r>
          </w:p>
          <w:p w:rsidR="00D527DB" w:rsidRDefault="00D527DB" w:rsidP="00D527DB">
            <w:pPr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benar 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</w:t>
            </w:r>
          </w:p>
        </w:tc>
        <w:tc>
          <w:tcPr>
            <w:tcW w:w="1701" w:type="dxa"/>
          </w:tcPr>
          <w:p w:rsidR="00EB5D13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Keadaan tidak hadir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KUHPer yang terdapat dalam pasal 463, 467, 484 dan 485 yaitu tahapan tindakan sementara, tahapan pernyataan barangkali meninggal dunia  dengan benar </w:t>
            </w:r>
          </w:p>
          <w:p w:rsidR="00D527DB" w:rsidRPr="00CB1EFD" w:rsidRDefault="00D527DB" w:rsidP="00D527DB">
            <w:pPr>
              <w:jc w:val="both"/>
              <w:rPr>
                <w:rFonts w:ascii="Segoe UI" w:hAnsi="Segoe UI" w:cs="Segoe UI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D527DB" w:rsidRPr="00EB5D13" w:rsidRDefault="00D527DB" w:rsidP="00D527DB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B5D13" w:rsidRPr="00D527DB">
              <w:rPr>
                <w:rFonts w:ascii="Segoe UI" w:hAnsi="Segoe UI" w:cs="Segoe UI"/>
                <w:sz w:val="22"/>
                <w:szCs w:val="22"/>
                <w:lang w:val="sv-SE"/>
              </w:rPr>
              <w:t>Keadaan tidak hadir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yang 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terdapat dalam pasal 463, 467, 484 dan 485 yaitu tahapan tindakan sementara, tahapan pernyataan barangkali meninggal dunia  dan tahapan pewarisan secara tetap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527DB" w:rsidRPr="00156CDC" w:rsidTr="00D527DB">
        <w:tc>
          <w:tcPr>
            <w:tcW w:w="80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D527DB" w:rsidRPr="00FD7683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FD7683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EB5D13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ketidakcakapan secara sungguh-sungguh dan ketidakcakapan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menurut hukum, pendewasaan penuh/sempurna dan pendewasaan terbatas, struktur lembaga catatan sipil dalam pemerintahan serta peristiwa-peristiwa  yang dicatat oleh lembaga catatan sipil</w:t>
            </w:r>
          </w:p>
          <w:p w:rsidR="00D527DB" w:rsidRPr="00AE7C6D" w:rsidRDefault="00D527DB" w:rsidP="00D527D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contohnya</w:t>
            </w:r>
          </w:p>
        </w:tc>
        <w:tc>
          <w:tcPr>
            <w:tcW w:w="1843" w:type="dxa"/>
          </w:tcPr>
          <w:p w:rsidR="00EB5D13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ketidakcakapan secara sungguh-sungguh dan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ketidakcakapan menurut hukum, pendewasaan penuh/sempurna dan pendewasaan terbatas, struktur lembaga catatan sipil dalam pemerintahan serta peristiwa-peristiwa  yang dicatat oleh lembaga catatan sipil</w:t>
            </w:r>
          </w:p>
          <w:p w:rsidR="00D527DB" w:rsidRPr="00F00341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baik dan benar</w:t>
            </w:r>
          </w:p>
          <w:p w:rsidR="00D527DB" w:rsidRPr="00F00341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B5D13" w:rsidRPr="00156CDC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 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>ketidakcakapan secara sungguh-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sungguh dan ketidakcakapan menurut hukum, pendewasaan penuh/sempurna dan pendewasaan terbatas, struktur lembaga catatan sipil dalam pemerintahan serta peristiwa-peristiwa  yang dicatat oleh lembaga catatan sipil</w:t>
            </w:r>
          </w:p>
          <w:p w:rsidR="00D527DB" w:rsidRPr="00F00341" w:rsidRDefault="00EB5D13" w:rsidP="00D527DB">
            <w:pPr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D527D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:rsidR="00D527DB" w:rsidRPr="00F00341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D527DB" w:rsidRPr="00F00341" w:rsidRDefault="00D527DB" w:rsidP="00EB5D13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ketidakcakapan secara sungguh-sungguh dan ketidakcakapan menurut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hukum, pendewasaan penuh/sempurna dan pendewasaan terbatas dengan benar</w:t>
            </w:r>
          </w:p>
        </w:tc>
        <w:tc>
          <w:tcPr>
            <w:tcW w:w="1701" w:type="dxa"/>
          </w:tcPr>
          <w:p w:rsidR="00D527DB" w:rsidRPr="00EB5D13" w:rsidRDefault="00D527DB" w:rsidP="00D527DB">
            <w:pPr>
              <w:jc w:val="both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ketidakcakapan secara sungguh-sungguh dan ketidakcakapan menurut hukum, 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pendewasaan penuh/sempurna dan pendewasaan terbatas, struktur lembaga catatan sipil dalam pemerintahan serta peristiwa-peristiwa  yang dicatat oleh lembaga catatan sipil</w:t>
            </w:r>
          </w:p>
          <w:p w:rsidR="00D527DB" w:rsidRPr="00F00341" w:rsidRDefault="00D527DB" w:rsidP="00D527D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FD7683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FD7683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Pengertian  perkawinan menurut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konsepsi perkawinan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syarat-syarat sahnya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perkawinan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KUHPer dan UU No.1 Tahun 1974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D527DB" w:rsidRPr="00156CDC" w:rsidRDefault="00D527DB" w:rsidP="00D527DB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*</w:t>
            </w:r>
            <w:r w:rsidRPr="0034217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Pengertian  perkawinan menurut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konsepsi perkawinan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syarat-syarat sahnya perkawinan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KUHPer dan UU No.1 Tahun 1974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 benar 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Pengertian  perkawinan menurut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konsepsi perkawinan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syarat-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syarat sahnya perkawinan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KUHPer dan UU No.1 Tahun 1974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EB5D13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menyebutkan </w:t>
            </w:r>
            <w:r w:rsidR="00EB5D13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Pengertian  perkawinan menurut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konsepsi perkawinan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baik dan benar</w:t>
            </w:r>
          </w:p>
        </w:tc>
        <w:tc>
          <w:tcPr>
            <w:tcW w:w="1701" w:type="dxa"/>
          </w:tcPr>
          <w:p w:rsidR="00D527DB" w:rsidRDefault="00D527DB" w:rsidP="00D527DB">
            <w:pPr>
              <w:jc w:val="both"/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Pengertian  perkawinan menurut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konsepsi perkawinan KUHPer dan UU No.1 Tahun 1974,</w:t>
            </w:r>
            <w:r w:rsidR="00EB5D13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syarat-syarat sahnya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perkawinan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KUHPer dan UU No.1 Tahun 1974</w:t>
            </w:r>
          </w:p>
          <w:p w:rsidR="00D527DB" w:rsidRPr="00EB5D13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EB5D13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527DB" w:rsidRPr="00156CDC" w:rsidTr="00D527DB">
        <w:tc>
          <w:tcPr>
            <w:tcW w:w="80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085D48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pencegahan perkawinan, akibat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, perwalian, pengampuan, putusnya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contohnya</w:t>
            </w:r>
          </w:p>
        </w:tc>
        <w:tc>
          <w:tcPr>
            <w:tcW w:w="184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pencegahan perkawinan, akibat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, perwalian, pengampuan, putusnya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pencegahan perkawinan, akibat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, perwalian, pengampuan, putusnya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EB5D13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pencegahan perkawinan, akibat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perwalian, </w:t>
            </w:r>
            <w:r>
              <w:rPr>
                <w:rFonts w:ascii="Segoe UI" w:hAnsi="Segoe UI" w:cs="Segoe UI"/>
                <w:sz w:val="22"/>
                <w:szCs w:val="22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pencegahan perkawinan, akibat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</w:t>
            </w:r>
            <w:r w:rsidR="00EB5D13" w:rsidRPr="00FB3C16">
              <w:rPr>
                <w:rFonts w:ascii="Segoe UI" w:hAnsi="Segoe UI" w:cs="Segoe UI"/>
                <w:sz w:val="22"/>
                <w:szCs w:val="22"/>
                <w:lang w:val="sv-SE"/>
              </w:rPr>
              <w:t>, perwalian, pengampuan, putusnya perkawinan</w:t>
            </w:r>
            <w:r w:rsidR="00EB5D1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dan UU No.1 tahun 1974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F859B8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Tes lisan</w:t>
            </w:r>
          </w:p>
        </w:tc>
        <w:tc>
          <w:tcPr>
            <w:tcW w:w="2268" w:type="dxa"/>
          </w:tcPr>
          <w:p w:rsidR="00EB5D13" w:rsidRDefault="00D527DB" w:rsidP="00EB5D13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EB5D13">
              <w:rPr>
                <w:rFonts w:ascii="Segoe UI" w:hAnsi="Segoe UI" w:cs="Segoe UI"/>
                <w:sz w:val="22"/>
                <w:szCs w:val="22"/>
              </w:rPr>
              <w:t xml:space="preserve"> pengertian hukum perdata, subyek hukum perdata, sumber hukum perdata, sistematik hukum perdata, hukum perkawinan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EB5D13" w:rsidRDefault="00D527DB" w:rsidP="00EB5D13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penjelasan dan pemahaman mengenai </w:t>
            </w:r>
            <w:r w:rsidRPr="00000746">
              <w:rPr>
                <w:rFonts w:ascii="Segoe UI" w:hAnsi="Segoe UI" w:cs="Segoe UI"/>
                <w:sz w:val="22"/>
                <w:szCs w:val="22"/>
              </w:rPr>
              <w:t>*</w:t>
            </w:r>
            <w:r w:rsidR="00EB5D13">
              <w:rPr>
                <w:rFonts w:ascii="Segoe UI" w:hAnsi="Segoe UI" w:cs="Segoe UI"/>
                <w:sz w:val="22"/>
                <w:szCs w:val="22"/>
              </w:rPr>
              <w:t>pengertian hukum perdata, subyek hukum perdata, sumber hukum perdata, sistematik hukum perdata, hukum perkawinan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EB5D13" w:rsidRDefault="00D527DB" w:rsidP="00EB5D13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menyebutkan </w:t>
            </w:r>
            <w:r w:rsidR="00EB5D13">
              <w:rPr>
                <w:rFonts w:ascii="Segoe UI" w:hAnsi="Segoe UI" w:cs="Segoe UI"/>
                <w:sz w:val="22"/>
                <w:szCs w:val="22"/>
              </w:rPr>
              <w:t>pengertian hukum perdata, subyek hukum perdata, sumber hukum perdata, sistematik hukum perdata, hukum perkawinan</w:t>
            </w: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EB5D13" w:rsidRDefault="00D527DB" w:rsidP="00EB5D13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="00EB5D13">
              <w:rPr>
                <w:rFonts w:ascii="Segoe UI" w:hAnsi="Segoe UI" w:cs="Segoe UI"/>
                <w:sz w:val="22"/>
                <w:szCs w:val="22"/>
              </w:rPr>
              <w:lastRenderedPageBreak/>
              <w:t>pengertian hukum perdata, subyek hukum perdata, sumber hukum perdata, sistematik hukum perdata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 dengan benar 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F621AA" w:rsidRDefault="00D527DB" w:rsidP="00F621AA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621AA">
              <w:rPr>
                <w:rFonts w:ascii="Segoe UI" w:hAnsi="Segoe UI" w:cs="Segoe UI"/>
                <w:sz w:val="22"/>
                <w:szCs w:val="22"/>
              </w:rPr>
              <w:lastRenderedPageBreak/>
              <w:t>pengertian hukum perdata, subyek hukum perdata, sumber hukum perdata, sistematik hukum perdata, hukum perkawinan</w:t>
            </w:r>
          </w:p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D527DB" w:rsidRPr="00AC1077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D527DB" w:rsidRPr="00156CDC" w:rsidTr="00D527DB">
        <w:tc>
          <w:tcPr>
            <w:tcW w:w="80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</w:t>
            </w:r>
          </w:p>
        </w:tc>
        <w:tc>
          <w:tcPr>
            <w:tcW w:w="2268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Pengertian benda, pembedaan benda, benda bergerak, dan benda tidak bergerak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contohya.</w:t>
            </w:r>
          </w:p>
        </w:tc>
        <w:tc>
          <w:tcPr>
            <w:tcW w:w="1843" w:type="dxa"/>
          </w:tcPr>
          <w:p w:rsidR="00D527DB" w:rsidRPr="00156CDC" w:rsidRDefault="00D527DB" w:rsidP="00F621AA">
            <w:pPr>
              <w:jc w:val="both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Pengertian benda, pembedaan benda, benda bergerak, dan benda tidak bergerak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Pengertian benda, pembedaan benda, benda bergerak, dan benda tidak bergerak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F621AA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Pengertian benda, pembedaan benda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Pengertian benda, pembedaan benda, benda bergerak, dan benda tidak bergerak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D527DB" w:rsidRPr="00FD7683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6 %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Tes 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lisan</w:t>
            </w:r>
          </w:p>
        </w:tc>
        <w:tc>
          <w:tcPr>
            <w:tcW w:w="2268" w:type="dxa"/>
          </w:tcPr>
          <w:p w:rsidR="00F621AA" w:rsidRPr="00F231C6" w:rsidRDefault="00D527DB" w:rsidP="00F621AA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Hak Kebendaan,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>Penyerahan Benda Tidak Berwujud Berupa Piutang Dan Hak-Hak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D527DB" w:rsidRPr="00156CDC" w:rsidRDefault="00F621AA" w:rsidP="00F621A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527D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F621AA" w:rsidRPr="00F231C6" w:rsidRDefault="00D527DB" w:rsidP="00F621AA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Hak Kebendaan,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>Penyerahan Benda Tidak Berwujud Berupa Piutang Dan Hak-Hak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D527DB" w:rsidRPr="00156CDC" w:rsidRDefault="00F621AA" w:rsidP="00F621AA">
            <w:pPr>
              <w:rPr>
                <w:rFonts w:ascii="Segoe UI" w:hAnsi="Segoe UI" w:cs="Segoe UI"/>
                <w:lang w:val="es-ES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527DB"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F621AA" w:rsidRPr="00F231C6" w:rsidRDefault="00D527DB" w:rsidP="00F621AA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Hak Kebendaan,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>Penyerahan Benda Tidak Berwujud Berupa Piutang Dan Hak-Hak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D527DB" w:rsidRDefault="00F621AA" w:rsidP="00F621AA">
            <w:pPr>
              <w:rPr>
                <w:rFonts w:ascii="Segoe UI" w:hAnsi="Segoe UI" w:cs="Segoe UI"/>
                <w:lang w:val="sv-SE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527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</w:t>
            </w: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F621AA" w:rsidRPr="00F231C6" w:rsidRDefault="00D527DB" w:rsidP="00F621AA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Hak Kebendaan,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>Penyerahan Benda Tidak Berwujud Berupa Piutang Dan Hak-Hak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D527DB" w:rsidRPr="00156CDC" w:rsidRDefault="00F621AA" w:rsidP="00F621AA">
            <w:pPr>
              <w:rPr>
                <w:rFonts w:ascii="Segoe UI" w:hAnsi="Segoe UI" w:cs="Segoe UI"/>
                <w:lang w:val="es-ES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 w:rsidRPr="00156CDC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 dengan benar </w:t>
            </w:r>
          </w:p>
        </w:tc>
        <w:tc>
          <w:tcPr>
            <w:tcW w:w="1701" w:type="dxa"/>
          </w:tcPr>
          <w:p w:rsidR="00F621AA" w:rsidRPr="00F231C6" w:rsidRDefault="00D527DB" w:rsidP="00F621AA">
            <w:pPr>
              <w:jc w:val="both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Hak Kebendaan,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>Penyerahan Benda Tidak Berwujud Berupa Piutang Dan Hak-Hak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F621AA" w:rsidRPr="00F231C6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D527DB" w:rsidRPr="00156CDC" w:rsidRDefault="00F621AA" w:rsidP="00F621AA">
            <w:pPr>
              <w:rPr>
                <w:rFonts w:ascii="Segoe UI" w:hAnsi="Segoe UI" w:cs="Segoe UI"/>
                <w:lang w:val="sv-SE"/>
              </w:rPr>
            </w:pPr>
            <w:r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 w:rsidR="00D527DB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134" w:type="dxa"/>
          </w:tcPr>
          <w:p w:rsidR="00D527DB" w:rsidRPr="007118DD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6 %</w:t>
            </w:r>
          </w:p>
        </w:tc>
      </w:tr>
      <w:tr w:rsidR="00D527DB" w:rsidRPr="00156CDC" w:rsidTr="00D527DB">
        <w:tc>
          <w:tcPr>
            <w:tcW w:w="80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D527DB" w:rsidRPr="00156CDC" w:rsidRDefault="00D527DB" w:rsidP="00D527D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waris,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unsur kewarisan, unsur hukum waris, cara mewaris, prinsip pewarisan beserta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pengaturannya dalam Kitab Undang-Undang Hukum Perdata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>, pihak-pihak yang menerima waris menurut KUHPer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baik dan benar serta memberikan contohnya</w:t>
            </w:r>
          </w:p>
        </w:tc>
        <w:tc>
          <w:tcPr>
            <w:tcW w:w="1843" w:type="dxa"/>
          </w:tcPr>
          <w:p w:rsidR="00D527DB" w:rsidRPr="00F00341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waris,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unsur kewarisan, unsur hukum waris,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cara mewaris, prinsip pewarisan beserta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pihak-pihak yang menerima waris menurut KUHPer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waris,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unsur kewarisan, unsur hukum waris, cara mewaris, prinsip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pewarisan beserta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pihak-pihak yang menerima waris menurut KUHPer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F621AA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waris,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unsur kewarisan, unsur hukum waris, beserta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pengaturannya dalam Kitab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Undang-Undang Hukum Perdata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benr</w:t>
            </w:r>
          </w:p>
        </w:tc>
        <w:tc>
          <w:tcPr>
            <w:tcW w:w="1701" w:type="dxa"/>
          </w:tcPr>
          <w:p w:rsidR="00D527DB" w:rsidRPr="00156CDC" w:rsidRDefault="00D527DB" w:rsidP="00F621AA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waris,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unsur kewarisan, unsur hukum waris, cara mewaris, prinsip pewarisan 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beserta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pengaturannya dalam Kitab Undang-Undang Hukum Perdata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D527DB" w:rsidRPr="00FD7683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10 %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F00341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</w:rPr>
            </w:pPr>
          </w:p>
          <w:p w:rsidR="00D527DB" w:rsidRPr="00D02635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Pr="00FD7683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D527DB" w:rsidRPr="00156CDC" w:rsidRDefault="00D527DB" w:rsidP="00D527D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Asas pewarisan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>, syarat-syarat mewaris, prinsip ahli waris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undang-undang, </w:t>
            </w:r>
            <w:r w:rsidR="00F621AA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Penggolongan ahli waris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KUHPer,  macam-macam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wasiat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Legitieme Portie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Pr="00DC501A">
              <w:t>*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Asas pewarisan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>, syarat-syarat mewaris, prinsip ahli waris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undang-undang, </w:t>
            </w:r>
            <w:r w:rsidR="00F621AA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Penggolongan ahli waris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macam-macam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wasiat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Legitieme Portie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Asas pewarisan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>, syarat-syarat mewaris, prinsip ahli waris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undang-undang, </w:t>
            </w:r>
            <w:r w:rsidR="00F621AA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Penggolongan ahli waris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macam-macam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wasiat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Legitieme Portie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F621AA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Asas pewarisan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>, syarat-syarat mewaris, prinsip ahli waris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undang-undang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Asas pewarisan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>, syarat-syarat mewaris, prinsip ahli waris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undang-undang, </w:t>
            </w:r>
            <w:r w:rsidR="00F621AA" w:rsidRPr="00411369">
              <w:rPr>
                <w:rFonts w:ascii="Segoe UI" w:hAnsi="Segoe UI" w:cs="Segoe UI"/>
                <w:sz w:val="22"/>
                <w:szCs w:val="22"/>
                <w:lang w:val="sv-SE"/>
              </w:rPr>
              <w:t>Penggolongan ahli waris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menurut KUHPer macam-macam </w:t>
            </w:r>
            <w:r w:rsidR="00F621AA" w:rsidRPr="00593C5B">
              <w:rPr>
                <w:rFonts w:ascii="Segoe UI" w:hAnsi="Segoe UI" w:cs="Segoe UI"/>
                <w:sz w:val="22"/>
                <w:szCs w:val="22"/>
                <w:lang w:val="sv-SE"/>
              </w:rPr>
              <w:t>wasiat</w:t>
            </w:r>
            <w:r w:rsidR="00F621AA">
              <w:rPr>
                <w:rFonts w:ascii="Segoe UI" w:hAnsi="Segoe UI" w:cs="Segoe UI"/>
                <w:sz w:val="22"/>
                <w:szCs w:val="22"/>
                <w:lang w:val="sv-SE"/>
              </w:rPr>
              <w:t>, Legitieme Portie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134" w:type="dxa"/>
          </w:tcPr>
          <w:p w:rsidR="00D527DB" w:rsidRPr="00FD7683" w:rsidRDefault="00D527DB" w:rsidP="00D527D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10 %</w:t>
            </w:r>
          </w:p>
        </w:tc>
      </w:tr>
      <w:tr w:rsidR="00D527DB" w:rsidRPr="00156CDC" w:rsidTr="00D527DB">
        <w:tc>
          <w:tcPr>
            <w:tcW w:w="80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DUR</w:t>
            </w:r>
          </w:p>
        </w:tc>
        <w:tc>
          <w:tcPr>
            <w:tcW w:w="992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BEN-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TUK</w:t>
            </w:r>
          </w:p>
        </w:tc>
        <w:tc>
          <w:tcPr>
            <w:tcW w:w="2268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A / A-)</w:t>
            </w:r>
          </w:p>
        </w:tc>
        <w:tc>
          <w:tcPr>
            <w:tcW w:w="1843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(B- / B / B+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(C / C+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D )</w:t>
            </w:r>
          </w:p>
        </w:tc>
        <w:tc>
          <w:tcPr>
            <w:tcW w:w="1701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SEKOR &lt; 45</w:t>
            </w:r>
          </w:p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E )</w:t>
            </w:r>
          </w:p>
        </w:tc>
        <w:tc>
          <w:tcPr>
            <w:tcW w:w="1134" w:type="dxa"/>
            <w:shd w:val="clear" w:color="auto" w:fill="C2D69B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BOBOT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527DB" w:rsidRPr="00F00341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 t</w:t>
            </w:r>
          </w:p>
        </w:tc>
        <w:tc>
          <w:tcPr>
            <w:tcW w:w="992" w:type="dxa"/>
          </w:tcPr>
          <w:p w:rsidR="00D527DB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D527DB" w:rsidRPr="007118DD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="00D527DB" w:rsidRPr="00156CDC" w:rsidRDefault="00D527DB" w:rsidP="00D527D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F621AA" w:rsidRPr="00DE0230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Perikatan, membedakan antara perjanjian dan perikatan, </w:t>
            </w:r>
            <w:r w:rsidR="00F621AA" w:rsidRPr="00411369">
              <w:rPr>
                <w:rFonts w:ascii="Segoe UI" w:hAnsi="Segoe UI" w:cs="Segoe UI"/>
                <w:bCs/>
                <w:sz w:val="22"/>
                <w:szCs w:val="22"/>
              </w:rPr>
              <w:t>Tempat Pengaturan dan Sistem Hukum Perikatan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>, unsur-unsur perikatan, dan sumber perikatan.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 serta memberikan contohnya</w:t>
            </w:r>
          </w:p>
        </w:tc>
        <w:tc>
          <w:tcPr>
            <w:tcW w:w="184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 dan pemahaman mengenai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621AA" w:rsidRPr="00DE0230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Perikatan, membedakan antara perjanjian dan perikatan, </w:t>
            </w:r>
            <w:r w:rsidR="00F621AA" w:rsidRPr="00411369">
              <w:rPr>
                <w:rFonts w:ascii="Segoe UI" w:hAnsi="Segoe UI" w:cs="Segoe UI"/>
                <w:bCs/>
                <w:sz w:val="22"/>
                <w:szCs w:val="22"/>
              </w:rPr>
              <w:t>Tempat Pengaturan dan Sistem Hukum Perikatan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>, unsur-unsur perikatan, dan sumber perikatan.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DE0230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Perikatan, membedakan antara perjanjian dan perikatan, </w:t>
            </w:r>
            <w:r w:rsidR="00F621AA" w:rsidRPr="00411369">
              <w:rPr>
                <w:rFonts w:ascii="Segoe UI" w:hAnsi="Segoe UI" w:cs="Segoe UI"/>
                <w:bCs/>
                <w:sz w:val="22"/>
                <w:szCs w:val="22"/>
              </w:rPr>
              <w:t>Tempat Pengaturan dan Sistem Hukum Perikatan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>, unsur-unsur perikatan, dan sumber perikatan.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F621AA">
            <w:pPr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F621AA" w:rsidRPr="00DE0230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Perikatan, membedakan antara perjanjian dan perikatan, </w:t>
            </w:r>
            <w:r w:rsidR="00F621AA" w:rsidRPr="00411369">
              <w:rPr>
                <w:rFonts w:ascii="Segoe UI" w:hAnsi="Segoe UI" w:cs="Segoe UI"/>
                <w:bCs/>
                <w:sz w:val="22"/>
                <w:szCs w:val="22"/>
              </w:rPr>
              <w:t>Tempat Pengaturan dan Sistem Hukum Perikatan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701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F621AA" w:rsidRPr="00DE0230">
              <w:rPr>
                <w:rFonts w:ascii="Segoe UI" w:hAnsi="Segoe UI" w:cs="Segoe UI"/>
                <w:sz w:val="22"/>
                <w:szCs w:val="22"/>
              </w:rPr>
              <w:t xml:space="preserve">Pengertian 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Perikatan, membedakan antara perjanjian dan perikatan, </w:t>
            </w:r>
            <w:r w:rsidR="00F621AA" w:rsidRPr="00411369">
              <w:rPr>
                <w:rFonts w:ascii="Segoe UI" w:hAnsi="Segoe UI" w:cs="Segoe UI"/>
                <w:bCs/>
                <w:sz w:val="22"/>
                <w:szCs w:val="22"/>
              </w:rPr>
              <w:t>Tempat Pengaturan dan Sistem Hukum Perikatan</w:t>
            </w:r>
            <w:r w:rsidR="00F621AA">
              <w:rPr>
                <w:rFonts w:ascii="Segoe UI" w:hAnsi="Segoe UI" w:cs="Segoe UI"/>
                <w:sz w:val="22"/>
                <w:szCs w:val="22"/>
              </w:rPr>
              <w:t xml:space="preserve">, unsur-unsur perikatan, dan sumber perikatan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benar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D527DB" w:rsidRPr="00156CDC" w:rsidTr="00D527DB">
        <w:tc>
          <w:tcPr>
            <w:tcW w:w="802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D527DB" w:rsidRPr="00156CDC" w:rsidRDefault="00D527DB" w:rsidP="00D527DB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D527DB" w:rsidRDefault="00D527DB" w:rsidP="00D527DB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Lisan</w:t>
            </w:r>
          </w:p>
          <w:p w:rsidR="00D527DB" w:rsidRPr="007118DD" w:rsidRDefault="00D527DB" w:rsidP="00D527DB">
            <w:pPr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="00D527DB" w:rsidRPr="00DA62E9" w:rsidRDefault="00D527DB" w:rsidP="00DA62E9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penjelasan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pemahaman mengenai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t xml:space="preserve">macam-macam perjanjian, macam-macam perikatan, asas-asas dalam perikatan, berakhirnya perikatan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baik dan benar serta memberikan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contohnya</w:t>
            </w:r>
          </w:p>
        </w:tc>
        <w:tc>
          <w:tcPr>
            <w:tcW w:w="1843" w:type="dxa"/>
          </w:tcPr>
          <w:p w:rsidR="00D527DB" w:rsidRPr="00DA62E9" w:rsidRDefault="00D527DB" w:rsidP="00DA62E9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memberikan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penjelasan dan pemahaman mengenai </w:t>
            </w:r>
            <w:r w:rsidRPr="00F668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t xml:space="preserve">macam-macam perjanjian, macam-macam perikatan, asas-asas dalam perikatan, berakhirnya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perikatan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DA62E9" w:rsidRDefault="00D527DB" w:rsidP="00DA62E9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t xml:space="preserve">macam-macam perjanjian, macam-macam perikatan, asas-asas dalam perikatan, berakhirnya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perikatan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dengan baik dan benar</w:t>
            </w:r>
          </w:p>
        </w:tc>
        <w:tc>
          <w:tcPr>
            <w:tcW w:w="1701" w:type="dxa"/>
          </w:tcPr>
          <w:p w:rsidR="00D527DB" w:rsidRPr="00156CDC" w:rsidRDefault="00D527DB" w:rsidP="00DA62E9">
            <w:pPr>
              <w:spacing w:before="100" w:beforeAutospacing="1" w:after="100" w:afterAutospacing="1"/>
              <w:rPr>
                <w:rFonts w:ascii="Segoe UI" w:hAnsi="Segoe UI" w:cs="Segoe UI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t>macam-macam perjanjian, macam-macam perikatan dengan benar</w:t>
            </w:r>
          </w:p>
        </w:tc>
        <w:tc>
          <w:tcPr>
            <w:tcW w:w="1701" w:type="dxa"/>
          </w:tcPr>
          <w:p w:rsidR="00DA62E9" w:rsidRPr="00411369" w:rsidRDefault="00D527DB" w:rsidP="00DA62E9">
            <w:pPr>
              <w:spacing w:before="100" w:beforeAutospacing="1" w:after="100" w:afterAutospacing="1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t xml:space="preserve">macam-macam perjanjian, macam-macam perikatan, asas-asas dalam perikatan, berakhirnya perikatan </w:t>
            </w:r>
            <w:r w:rsidR="00DA62E9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dengan benar </w:t>
            </w:r>
          </w:p>
          <w:p w:rsidR="00DA62E9" w:rsidRPr="00F668D4" w:rsidRDefault="00DA62E9" w:rsidP="00DA62E9">
            <w:pPr>
              <w:jc w:val="both"/>
              <w:rPr>
                <w:rFonts w:ascii="Segoe UI" w:hAnsi="Segoe UI" w:cs="Segoe UI"/>
              </w:rPr>
            </w:pPr>
          </w:p>
          <w:p w:rsidR="00D527DB" w:rsidRPr="00F668D4" w:rsidRDefault="00D527DB" w:rsidP="00D527DB">
            <w:pPr>
              <w:jc w:val="both"/>
              <w:rPr>
                <w:rFonts w:ascii="Segoe UI" w:hAnsi="Segoe UI" w:cs="Segoe UI"/>
              </w:rPr>
            </w:pPr>
          </w:p>
          <w:p w:rsidR="00D527DB" w:rsidRPr="00156CDC" w:rsidRDefault="00D527DB" w:rsidP="00D527DB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134" w:type="dxa"/>
          </w:tcPr>
          <w:p w:rsidR="00D527DB" w:rsidRPr="00156CDC" w:rsidRDefault="00D527DB" w:rsidP="00D527DB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D527DB" w:rsidRDefault="00D527DB" w:rsidP="00D527DB">
      <w:pPr>
        <w:rPr>
          <w:rFonts w:ascii="Segoe UI" w:hAnsi="Segoe UI" w:cs="Segoe UI"/>
          <w:sz w:val="22"/>
          <w:szCs w:val="22"/>
          <w:lang w:val="id-ID"/>
        </w:rPr>
      </w:pPr>
    </w:p>
    <w:p w:rsidR="00D527DB" w:rsidRPr="00504B12" w:rsidRDefault="00D527DB" w:rsidP="00D527DB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D527DB" w:rsidRDefault="00D527DB" w:rsidP="00D527DB">
      <w:pPr>
        <w:rPr>
          <w:rFonts w:ascii="Segoe UI" w:hAnsi="Segoe UI" w:cs="Segoe UI"/>
          <w:sz w:val="22"/>
          <w:szCs w:val="22"/>
          <w:lang w:val="id-ID"/>
        </w:rPr>
      </w:pPr>
    </w:p>
    <w:p w:rsidR="00D527DB" w:rsidRDefault="00DA62E9" w:rsidP="00D527DB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5</w:t>
      </w:r>
      <w:r w:rsidR="00D527D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527DB" w:rsidRDefault="00D527DB" w:rsidP="00D527DB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D527DB" w:rsidRDefault="00D527DB" w:rsidP="00D527DB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527DB" w:rsidRDefault="00D527DB" w:rsidP="00D527DB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DA62E9">
        <w:rPr>
          <w:rFonts w:ascii="Segoe UI" w:hAnsi="Segoe UI" w:cs="Segoe UI"/>
          <w:sz w:val="22"/>
          <w:szCs w:val="22"/>
        </w:rPr>
        <w:t>40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D527DB" w:rsidRDefault="00D527DB" w:rsidP="00D527DB">
      <w:pPr>
        <w:rPr>
          <w:rFonts w:ascii="Segoe UI" w:hAnsi="Segoe UI" w:cs="Segoe UI"/>
          <w:sz w:val="22"/>
          <w:szCs w:val="22"/>
          <w:lang w:val="id-ID"/>
        </w:rPr>
      </w:pPr>
    </w:p>
    <w:p w:rsidR="00D527DB" w:rsidRDefault="00D527DB" w:rsidP="00D527DB">
      <w:pPr>
        <w:rPr>
          <w:rFonts w:ascii="Segoe UI" w:hAnsi="Segoe UI" w:cs="Segoe UI"/>
          <w:sz w:val="22"/>
          <w:szCs w:val="22"/>
          <w:lang w:val="id-ID"/>
        </w:rPr>
      </w:pPr>
    </w:p>
    <w:p w:rsidR="00D527DB" w:rsidRPr="00F00341" w:rsidRDefault="00D527DB" w:rsidP="00D527D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 xml:space="preserve">April 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6</w:t>
      </w:r>
    </w:p>
    <w:p w:rsidR="00D527DB" w:rsidRDefault="00D527DB" w:rsidP="00D527D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D527DB" w:rsidRPr="00F00341" w:rsidRDefault="00D527DB" w:rsidP="00D527D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D527DB" w:rsidRDefault="00D527DB" w:rsidP="00D527D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527DB" w:rsidRDefault="00D527DB" w:rsidP="00D527D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527DB" w:rsidRDefault="00D527DB" w:rsidP="00D527D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527DB" w:rsidRDefault="00D527DB" w:rsidP="00D527D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527DB" w:rsidRPr="006B29A1" w:rsidRDefault="00D527DB" w:rsidP="00D527D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Nurhayani, SH, MH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 Fitria Olivia, SH, MH</w:t>
      </w:r>
    </w:p>
    <w:p w:rsidR="00D527DB" w:rsidRDefault="00D527DB" w:rsidP="00D527DB"/>
    <w:p w:rsidR="00D527DB" w:rsidRDefault="00D527DB"/>
    <w:sectPr w:rsidR="00D527DB" w:rsidSect="00D527DB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863"/>
    <w:multiLevelType w:val="hybridMultilevel"/>
    <w:tmpl w:val="A704B2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B50"/>
    <w:multiLevelType w:val="hybridMultilevel"/>
    <w:tmpl w:val="9D4614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7BA"/>
    <w:multiLevelType w:val="hybridMultilevel"/>
    <w:tmpl w:val="B0C87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BF5"/>
    <w:multiLevelType w:val="hybridMultilevel"/>
    <w:tmpl w:val="14149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1F6"/>
    <w:multiLevelType w:val="hybridMultilevel"/>
    <w:tmpl w:val="DA98B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F90"/>
    <w:multiLevelType w:val="hybridMultilevel"/>
    <w:tmpl w:val="10CEF9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4506"/>
    <w:multiLevelType w:val="hybridMultilevel"/>
    <w:tmpl w:val="BB0C7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2D7"/>
    <w:multiLevelType w:val="hybridMultilevel"/>
    <w:tmpl w:val="67B4DF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3BA0"/>
    <w:multiLevelType w:val="hybridMultilevel"/>
    <w:tmpl w:val="C38431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C1F3E"/>
    <w:multiLevelType w:val="hybridMultilevel"/>
    <w:tmpl w:val="53C64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E88"/>
    <w:multiLevelType w:val="hybridMultilevel"/>
    <w:tmpl w:val="8528E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67D61"/>
    <w:multiLevelType w:val="hybridMultilevel"/>
    <w:tmpl w:val="8B082D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96260"/>
    <w:multiLevelType w:val="hybridMultilevel"/>
    <w:tmpl w:val="2C04F9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5F8"/>
    <w:multiLevelType w:val="hybridMultilevel"/>
    <w:tmpl w:val="26AAA1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5FA8"/>
    <w:multiLevelType w:val="hybridMultilevel"/>
    <w:tmpl w:val="B54A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1786"/>
    <w:multiLevelType w:val="hybridMultilevel"/>
    <w:tmpl w:val="7EAE4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D10D7"/>
    <w:multiLevelType w:val="hybridMultilevel"/>
    <w:tmpl w:val="1FC0915E"/>
    <w:lvl w:ilvl="0" w:tplc="2988C5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464386"/>
    <w:multiLevelType w:val="hybridMultilevel"/>
    <w:tmpl w:val="949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22D3A"/>
    <w:multiLevelType w:val="hybridMultilevel"/>
    <w:tmpl w:val="865A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C1834"/>
    <w:multiLevelType w:val="hybridMultilevel"/>
    <w:tmpl w:val="5AAA89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61543"/>
    <w:multiLevelType w:val="hybridMultilevel"/>
    <w:tmpl w:val="43A0C1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47CBC"/>
    <w:multiLevelType w:val="hybridMultilevel"/>
    <w:tmpl w:val="0E5E71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268DB"/>
    <w:multiLevelType w:val="hybridMultilevel"/>
    <w:tmpl w:val="12E432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206BE"/>
    <w:multiLevelType w:val="hybridMultilevel"/>
    <w:tmpl w:val="9A7E4E3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6A3C81"/>
    <w:multiLevelType w:val="hybridMultilevel"/>
    <w:tmpl w:val="AB5E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15D85"/>
    <w:multiLevelType w:val="hybridMultilevel"/>
    <w:tmpl w:val="923EDA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F13CE"/>
    <w:multiLevelType w:val="hybridMultilevel"/>
    <w:tmpl w:val="D3D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12DAC"/>
    <w:multiLevelType w:val="hybridMultilevel"/>
    <w:tmpl w:val="97704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C530B"/>
    <w:multiLevelType w:val="hybridMultilevel"/>
    <w:tmpl w:val="49247B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64A9F"/>
    <w:multiLevelType w:val="hybridMultilevel"/>
    <w:tmpl w:val="155AA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03522"/>
    <w:multiLevelType w:val="hybridMultilevel"/>
    <w:tmpl w:val="85604E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21F9C"/>
    <w:multiLevelType w:val="hybridMultilevel"/>
    <w:tmpl w:val="B37E969A"/>
    <w:lvl w:ilvl="0" w:tplc="99D4EF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58D11EC"/>
    <w:multiLevelType w:val="hybridMultilevel"/>
    <w:tmpl w:val="EE7E1B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C46CE"/>
    <w:multiLevelType w:val="hybridMultilevel"/>
    <w:tmpl w:val="191ED6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E2AF8"/>
    <w:multiLevelType w:val="hybridMultilevel"/>
    <w:tmpl w:val="EF78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21BE2"/>
    <w:multiLevelType w:val="hybridMultilevel"/>
    <w:tmpl w:val="3D184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55311"/>
    <w:multiLevelType w:val="hybridMultilevel"/>
    <w:tmpl w:val="006A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F06F5"/>
    <w:multiLevelType w:val="hybridMultilevel"/>
    <w:tmpl w:val="127218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55B12"/>
    <w:multiLevelType w:val="hybridMultilevel"/>
    <w:tmpl w:val="E952A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017C0"/>
    <w:multiLevelType w:val="hybridMultilevel"/>
    <w:tmpl w:val="ED9ACB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47726"/>
    <w:multiLevelType w:val="hybridMultilevel"/>
    <w:tmpl w:val="21B204DA"/>
    <w:lvl w:ilvl="0" w:tplc="C754896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F4E1533"/>
    <w:multiLevelType w:val="hybridMultilevel"/>
    <w:tmpl w:val="0CBCDE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21"/>
  </w:num>
  <w:num w:numId="4">
    <w:abstractNumId w:val="14"/>
  </w:num>
  <w:num w:numId="5">
    <w:abstractNumId w:val="29"/>
  </w:num>
  <w:num w:numId="6">
    <w:abstractNumId w:val="39"/>
  </w:num>
  <w:num w:numId="7">
    <w:abstractNumId w:val="26"/>
  </w:num>
  <w:num w:numId="8">
    <w:abstractNumId w:val="20"/>
  </w:num>
  <w:num w:numId="9">
    <w:abstractNumId w:val="25"/>
  </w:num>
  <w:num w:numId="10">
    <w:abstractNumId w:val="3"/>
  </w:num>
  <w:num w:numId="11">
    <w:abstractNumId w:val="32"/>
  </w:num>
  <w:num w:numId="12">
    <w:abstractNumId w:val="45"/>
  </w:num>
  <w:num w:numId="13">
    <w:abstractNumId w:val="41"/>
  </w:num>
  <w:num w:numId="14">
    <w:abstractNumId w:val="4"/>
  </w:num>
  <w:num w:numId="15">
    <w:abstractNumId w:val="19"/>
  </w:num>
  <w:num w:numId="16">
    <w:abstractNumId w:val="2"/>
  </w:num>
  <w:num w:numId="17">
    <w:abstractNumId w:val="34"/>
  </w:num>
  <w:num w:numId="18">
    <w:abstractNumId w:val="27"/>
  </w:num>
  <w:num w:numId="19">
    <w:abstractNumId w:val="10"/>
  </w:num>
  <w:num w:numId="20">
    <w:abstractNumId w:val="9"/>
  </w:num>
  <w:num w:numId="21">
    <w:abstractNumId w:val="18"/>
  </w:num>
  <w:num w:numId="22">
    <w:abstractNumId w:val="1"/>
  </w:num>
  <w:num w:numId="23">
    <w:abstractNumId w:val="42"/>
  </w:num>
  <w:num w:numId="24">
    <w:abstractNumId w:val="8"/>
  </w:num>
  <w:num w:numId="25">
    <w:abstractNumId w:val="36"/>
  </w:num>
  <w:num w:numId="26">
    <w:abstractNumId w:val="15"/>
  </w:num>
  <w:num w:numId="27">
    <w:abstractNumId w:val="23"/>
  </w:num>
  <w:num w:numId="28">
    <w:abstractNumId w:val="7"/>
  </w:num>
  <w:num w:numId="29">
    <w:abstractNumId w:val="17"/>
  </w:num>
  <w:num w:numId="30">
    <w:abstractNumId w:val="43"/>
  </w:num>
  <w:num w:numId="31">
    <w:abstractNumId w:val="13"/>
  </w:num>
  <w:num w:numId="32">
    <w:abstractNumId w:val="12"/>
  </w:num>
  <w:num w:numId="33">
    <w:abstractNumId w:val="22"/>
  </w:num>
  <w:num w:numId="34">
    <w:abstractNumId w:val="33"/>
  </w:num>
  <w:num w:numId="35">
    <w:abstractNumId w:val="35"/>
  </w:num>
  <w:num w:numId="36">
    <w:abstractNumId w:val="6"/>
  </w:num>
  <w:num w:numId="37">
    <w:abstractNumId w:val="24"/>
  </w:num>
  <w:num w:numId="38">
    <w:abstractNumId w:val="0"/>
  </w:num>
  <w:num w:numId="39">
    <w:abstractNumId w:val="31"/>
  </w:num>
  <w:num w:numId="40">
    <w:abstractNumId w:val="38"/>
  </w:num>
  <w:num w:numId="41">
    <w:abstractNumId w:val="30"/>
  </w:num>
  <w:num w:numId="42">
    <w:abstractNumId w:val="44"/>
  </w:num>
  <w:num w:numId="43">
    <w:abstractNumId w:val="5"/>
  </w:num>
  <w:num w:numId="44">
    <w:abstractNumId w:val="11"/>
  </w:num>
  <w:num w:numId="45">
    <w:abstractNumId w:val="3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27DB"/>
    <w:rsid w:val="000B2D9C"/>
    <w:rsid w:val="00240334"/>
    <w:rsid w:val="00411369"/>
    <w:rsid w:val="00593C5B"/>
    <w:rsid w:val="0059459E"/>
    <w:rsid w:val="00751F4D"/>
    <w:rsid w:val="00790465"/>
    <w:rsid w:val="008556B8"/>
    <w:rsid w:val="008E36F2"/>
    <w:rsid w:val="0094534A"/>
    <w:rsid w:val="009C662D"/>
    <w:rsid w:val="00C147CD"/>
    <w:rsid w:val="00D527DB"/>
    <w:rsid w:val="00DA62E9"/>
    <w:rsid w:val="00EB5D13"/>
    <w:rsid w:val="00F231C6"/>
    <w:rsid w:val="00F621AA"/>
    <w:rsid w:val="00FB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D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D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2017-04-10T11:54:00Z</dcterms:created>
  <dcterms:modified xsi:type="dcterms:W3CDTF">2017-04-11T01:23:00Z</dcterms:modified>
</cp:coreProperties>
</file>