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50" w:rsidRDefault="00EF7750" w:rsidP="00EF7750">
      <w:pPr>
        <w:pStyle w:val="Default"/>
        <w:rPr>
          <w:b/>
        </w:rPr>
      </w:pPr>
    </w:p>
    <w:tbl>
      <w:tblPr>
        <w:tblW w:w="145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709"/>
        <w:gridCol w:w="2711"/>
        <w:gridCol w:w="236"/>
        <w:gridCol w:w="2554"/>
        <w:gridCol w:w="2160"/>
        <w:gridCol w:w="79"/>
        <w:gridCol w:w="3161"/>
        <w:gridCol w:w="461"/>
        <w:gridCol w:w="283"/>
        <w:gridCol w:w="1596"/>
      </w:tblGrid>
      <w:tr w:rsidR="00EF7750" w:rsidRPr="00B006E9" w:rsidTr="00EF7750">
        <w:tc>
          <w:tcPr>
            <w:tcW w:w="1339" w:type="dxa"/>
            <w:gridSpan w:val="2"/>
            <w:tcBorders>
              <w:top w:val="dotted" w:sz="4" w:space="0" w:color="auto"/>
              <w:left w:val="dotted" w:sz="4" w:space="0" w:color="auto"/>
              <w:bottom w:val="nil"/>
              <w:right w:val="dotted" w:sz="4" w:space="0" w:color="auto"/>
            </w:tcBorders>
            <w:shd w:val="clear" w:color="auto" w:fill="CCFFFF"/>
          </w:tcPr>
          <w:p w:rsidR="00EF7750" w:rsidRPr="00B006E9" w:rsidRDefault="00EF7750" w:rsidP="005A4645">
            <w:pPr>
              <w:spacing w:after="0" w:line="240" w:lineRule="auto"/>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661312" behindDoc="0" locked="0" layoutInCell="1" allowOverlap="1" wp14:anchorId="29DC626A" wp14:editId="06B85514">
                      <wp:simplePos x="0" y="0"/>
                      <wp:positionH relativeFrom="column">
                        <wp:posOffset>1905</wp:posOffset>
                      </wp:positionH>
                      <wp:positionV relativeFrom="paragraph">
                        <wp:posOffset>41910</wp:posOffset>
                      </wp:positionV>
                      <wp:extent cx="722630" cy="677545"/>
                      <wp:effectExtent l="7620" t="13335" r="12700"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677545"/>
                              </a:xfrm>
                              <a:prstGeom prst="rect">
                                <a:avLst/>
                              </a:prstGeom>
                              <a:solidFill>
                                <a:srgbClr val="FFFFFF"/>
                              </a:solidFill>
                              <a:ln w="9525">
                                <a:solidFill>
                                  <a:srgbClr val="000000"/>
                                </a:solidFill>
                                <a:miter lim="800000"/>
                                <a:headEnd/>
                                <a:tailEnd/>
                              </a:ln>
                            </wps:spPr>
                            <wps:txbx>
                              <w:txbxContent>
                                <w:p w:rsidR="00EF7750" w:rsidRDefault="00EF7750" w:rsidP="00EF7750">
                                  <w:r>
                                    <w:rPr>
                                      <w:noProof/>
                                    </w:rPr>
                                    <w:drawing>
                                      <wp:inline distT="0" distB="0" distL="0" distR="0" wp14:anchorId="52D6713B" wp14:editId="07C2C3AC">
                                        <wp:extent cx="552450" cy="552450"/>
                                        <wp:effectExtent l="0" t="0" r="0" b="0"/>
                                        <wp:docPr id="42" name="Picture 4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UEU ke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5pt;margin-top:3.3pt;width:56.9pt;height:53.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">
                      <v:textbox>
                        <w:txbxContent>
                          <w:p w:rsidR="00EF7750" w:rsidRDefault="00EF7750" w:rsidP="00EF7750">
                            <w:r>
                              <w:rPr>
                                <w:noProof/>
                              </w:rPr>
                              <w:drawing>
                                <wp:inline distT="0" distB="0" distL="0" distR="0" wp14:anchorId="52D6713B" wp14:editId="07C2C3AC">
                                  <wp:extent cx="552450" cy="552450"/>
                                  <wp:effectExtent l="0" t="0" r="0" b="0"/>
                                  <wp:docPr id="42" name="Picture 42"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UEU ke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p>
        </w:tc>
        <w:tc>
          <w:tcPr>
            <w:tcW w:w="13241" w:type="dxa"/>
            <w:gridSpan w:val="9"/>
            <w:tcBorders>
              <w:top w:val="dotted" w:sz="4" w:space="0" w:color="auto"/>
              <w:left w:val="dotted" w:sz="4" w:space="0" w:color="auto"/>
              <w:bottom w:val="nil"/>
              <w:right w:val="dotted" w:sz="4" w:space="0" w:color="auto"/>
            </w:tcBorders>
            <w:shd w:val="clear" w:color="auto" w:fill="CCFFFF"/>
          </w:tcPr>
          <w:p w:rsidR="00EF7750" w:rsidRPr="006D6169" w:rsidRDefault="00EF7750" w:rsidP="005A4645">
            <w:pPr>
              <w:spacing w:after="0" w:line="240" w:lineRule="auto"/>
              <w:rPr>
                <w:rFonts w:ascii="Cambria" w:hAnsi="Cambria" w:cs="Segoe UI"/>
                <w:sz w:val="20"/>
                <w:szCs w:val="20"/>
                <w:lang w:val="sv-SE"/>
              </w:rPr>
            </w:pPr>
          </w:p>
        </w:tc>
      </w:tr>
      <w:tr w:rsidR="00EF7750" w:rsidRPr="000A7333" w:rsidTr="00EF7750">
        <w:tc>
          <w:tcPr>
            <w:tcW w:w="1339" w:type="dxa"/>
            <w:gridSpan w:val="2"/>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rPr>
                <w:rFonts w:ascii="Segoe UI" w:hAnsi="Segoe UI" w:cs="Segoe UI"/>
                <w:noProof/>
                <w:sz w:val="12"/>
                <w:szCs w:val="12"/>
              </w:rPr>
            </w:pPr>
          </w:p>
        </w:tc>
        <w:tc>
          <w:tcPr>
            <w:tcW w:w="13241" w:type="dxa"/>
            <w:gridSpan w:val="9"/>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RENCANA PEMBELAJARAN SEMESTER G</w:t>
            </w:r>
            <w:r>
              <w:rPr>
                <w:rFonts w:ascii="Cambria" w:hAnsi="Cambria" w:cs="Segoe UI"/>
                <w:b/>
                <w:sz w:val="24"/>
                <w:szCs w:val="24"/>
                <w:lang w:val="sv-SE"/>
              </w:rPr>
              <w:t xml:space="preserve">ENAP </w:t>
            </w:r>
            <w:r w:rsidRPr="004A5C69">
              <w:rPr>
                <w:rFonts w:ascii="Cambria" w:hAnsi="Cambria" w:cs="Segoe UI"/>
                <w:b/>
                <w:sz w:val="24"/>
                <w:szCs w:val="24"/>
                <w:lang w:val="sv-SE"/>
              </w:rPr>
              <w:t>2016/2017</w:t>
            </w:r>
          </w:p>
        </w:tc>
      </w:tr>
      <w:tr w:rsidR="00EF7750" w:rsidRPr="000A7333" w:rsidTr="00EF7750">
        <w:tc>
          <w:tcPr>
            <w:tcW w:w="1339" w:type="dxa"/>
            <w:gridSpan w:val="2"/>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rPr>
                <w:rFonts w:ascii="Segoe UI" w:hAnsi="Segoe UI" w:cs="Segoe UI"/>
                <w:noProof/>
                <w:sz w:val="12"/>
                <w:szCs w:val="12"/>
              </w:rPr>
            </w:pPr>
          </w:p>
        </w:tc>
        <w:tc>
          <w:tcPr>
            <w:tcW w:w="13241" w:type="dxa"/>
            <w:gridSpan w:val="9"/>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PROGRAM STUDI MAGISTER AKUNTANSI FAKULTAS EKONOMI DAN BISNIS</w:t>
            </w:r>
          </w:p>
        </w:tc>
      </w:tr>
      <w:tr w:rsidR="00EF7750" w:rsidRPr="000A7333" w:rsidTr="00EF7750">
        <w:tc>
          <w:tcPr>
            <w:tcW w:w="1339" w:type="dxa"/>
            <w:gridSpan w:val="2"/>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rPr>
                <w:rFonts w:ascii="Segoe UI" w:hAnsi="Segoe UI" w:cs="Segoe UI"/>
                <w:noProof/>
                <w:sz w:val="12"/>
                <w:szCs w:val="12"/>
              </w:rPr>
            </w:pPr>
          </w:p>
        </w:tc>
        <w:tc>
          <w:tcPr>
            <w:tcW w:w="13241" w:type="dxa"/>
            <w:gridSpan w:val="9"/>
            <w:tcBorders>
              <w:top w:val="dotted" w:sz="4" w:space="0" w:color="auto"/>
              <w:left w:val="dotted" w:sz="4" w:space="0" w:color="auto"/>
              <w:bottom w:val="nil"/>
              <w:right w:val="dotted" w:sz="4" w:space="0" w:color="auto"/>
            </w:tcBorders>
            <w:shd w:val="clear" w:color="auto" w:fill="CCFFFF"/>
          </w:tcPr>
          <w:p w:rsidR="00EF7750" w:rsidRPr="004A5C69" w:rsidRDefault="00EF7750" w:rsidP="005A4645">
            <w:pPr>
              <w:spacing w:after="0" w:line="240" w:lineRule="auto"/>
              <w:jc w:val="center"/>
              <w:rPr>
                <w:rFonts w:ascii="Cambria" w:hAnsi="Cambria" w:cs="Segoe UI"/>
                <w:b/>
                <w:sz w:val="24"/>
                <w:szCs w:val="24"/>
                <w:lang w:val="sv-SE"/>
              </w:rPr>
            </w:pPr>
            <w:r w:rsidRPr="004A5C69">
              <w:rPr>
                <w:rFonts w:ascii="Cambria" w:hAnsi="Cambria" w:cs="Segoe UI"/>
                <w:b/>
                <w:sz w:val="24"/>
                <w:szCs w:val="24"/>
                <w:lang w:val="sv-SE"/>
              </w:rPr>
              <w:t>UNIVERSITAS ESA UNGGUL</w:t>
            </w:r>
          </w:p>
        </w:tc>
      </w:tr>
      <w:tr w:rsidR="00EF7750" w:rsidRPr="00B006E9" w:rsidTr="00EF7750">
        <w:trPr>
          <w:trHeight w:val="313"/>
        </w:trPr>
        <w:tc>
          <w:tcPr>
            <w:tcW w:w="14580" w:type="dxa"/>
            <w:gridSpan w:val="11"/>
            <w:tcBorders>
              <w:top w:val="nil"/>
              <w:bottom w:val="dotted" w:sz="4" w:space="0" w:color="auto"/>
            </w:tcBorders>
            <w:shd w:val="clear" w:color="auto" w:fill="CCFFFF"/>
          </w:tcPr>
          <w:p w:rsidR="00EF7750" w:rsidRPr="006D6169" w:rsidRDefault="00EF7750" w:rsidP="005A4645">
            <w:pPr>
              <w:spacing w:after="0" w:line="240" w:lineRule="auto"/>
              <w:jc w:val="center"/>
              <w:rPr>
                <w:rFonts w:ascii="Cambria" w:hAnsi="Cambria" w:cs="Segoe UI"/>
                <w:sz w:val="20"/>
                <w:szCs w:val="20"/>
                <w:lang w:val="sv-SE"/>
              </w:rPr>
            </w:pPr>
          </w:p>
        </w:tc>
      </w:tr>
      <w:tr w:rsidR="00EF7750" w:rsidRPr="000A7333" w:rsidTr="00EF7750">
        <w:tc>
          <w:tcPr>
            <w:tcW w:w="4050" w:type="dxa"/>
            <w:gridSpan w:val="3"/>
            <w:tcBorders>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Mata kuliah</w:t>
            </w:r>
          </w:p>
        </w:tc>
        <w:tc>
          <w:tcPr>
            <w:tcW w:w="236" w:type="dxa"/>
            <w:tcBorders>
              <w:left w:val="nil"/>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right w:val="nil"/>
            </w:tcBorders>
            <w:shd w:val="clear" w:color="auto" w:fill="auto"/>
          </w:tcPr>
          <w:p w:rsidR="00EF7750" w:rsidRPr="00800C80" w:rsidRDefault="00EF7750" w:rsidP="005A4645">
            <w:pPr>
              <w:spacing w:after="0" w:line="240" w:lineRule="auto"/>
              <w:rPr>
                <w:rFonts w:ascii="Cambria" w:hAnsi="Cambria" w:cs="Calibri"/>
                <w:b/>
                <w:lang w:val="sv-SE"/>
              </w:rPr>
            </w:pPr>
            <w:r>
              <w:rPr>
                <w:rFonts w:ascii="Cambria" w:hAnsi="Cambria" w:cs="Calibri"/>
                <w:b/>
              </w:rPr>
              <w:t>MANAJEMEN  RESIKO</w:t>
            </w:r>
          </w:p>
        </w:tc>
        <w:tc>
          <w:tcPr>
            <w:tcW w:w="3622" w:type="dxa"/>
            <w:gridSpan w:val="2"/>
            <w:tcBorders>
              <w:left w:val="nil"/>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sv-SE"/>
              </w:rPr>
              <w:t>Kode</w:t>
            </w:r>
            <w:r w:rsidRPr="00800C80">
              <w:rPr>
                <w:rFonts w:ascii="Cambria" w:hAnsi="Cambria" w:cs="Calibri"/>
                <w:b/>
                <w:lang w:val="id-ID"/>
              </w:rPr>
              <w:t xml:space="preserve"> MK</w:t>
            </w:r>
          </w:p>
        </w:tc>
        <w:tc>
          <w:tcPr>
            <w:tcW w:w="283" w:type="dxa"/>
            <w:tcBorders>
              <w:left w:val="nil"/>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w:t>
            </w:r>
          </w:p>
        </w:tc>
        <w:tc>
          <w:tcPr>
            <w:tcW w:w="1596" w:type="dxa"/>
            <w:tcBorders>
              <w:lef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rPr>
              <w:t xml:space="preserve">MAK </w:t>
            </w:r>
            <w:r w:rsidR="00D31C51">
              <w:rPr>
                <w:rFonts w:ascii="Cambria" w:hAnsi="Cambria" w:cs="Calibri"/>
                <w:b/>
              </w:rPr>
              <w:t>206</w:t>
            </w:r>
            <w:bookmarkStart w:id="0" w:name="_GoBack"/>
            <w:bookmarkEnd w:id="0"/>
          </w:p>
        </w:tc>
      </w:tr>
      <w:tr w:rsidR="00EF7750" w:rsidRPr="000A7333" w:rsidTr="00EF7750">
        <w:tc>
          <w:tcPr>
            <w:tcW w:w="4050" w:type="dxa"/>
            <w:gridSpan w:val="3"/>
            <w:tcBorders>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Mata kuliah prasyarat</w:t>
            </w:r>
          </w:p>
        </w:tc>
        <w:tc>
          <w:tcPr>
            <w:tcW w:w="236" w:type="dxa"/>
            <w:tcBorders>
              <w:left w:val="nil"/>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w:t>
            </w:r>
          </w:p>
        </w:tc>
        <w:tc>
          <w:tcPr>
            <w:tcW w:w="4793" w:type="dxa"/>
            <w:gridSpan w:val="3"/>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rPr>
            </w:pPr>
          </w:p>
        </w:tc>
        <w:tc>
          <w:tcPr>
            <w:tcW w:w="3622" w:type="dxa"/>
            <w:gridSpan w:val="2"/>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sv-SE"/>
              </w:rPr>
              <w:t>Bobot</w:t>
            </w:r>
            <w:r w:rsidRPr="00800C80">
              <w:rPr>
                <w:rFonts w:ascii="Cambria" w:hAnsi="Cambria" w:cs="Calibri"/>
                <w:b/>
                <w:lang w:val="id-ID"/>
              </w:rPr>
              <w:t xml:space="preserve"> MK</w:t>
            </w:r>
          </w:p>
        </w:tc>
        <w:tc>
          <w:tcPr>
            <w:tcW w:w="283" w:type="dxa"/>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w:t>
            </w:r>
          </w:p>
        </w:tc>
        <w:tc>
          <w:tcPr>
            <w:tcW w:w="1596" w:type="dxa"/>
            <w:tcBorders>
              <w:left w:val="nil"/>
              <w:bottom w:val="dotted" w:sz="4" w:space="0" w:color="auto"/>
            </w:tcBorders>
            <w:shd w:val="clear" w:color="auto" w:fill="auto"/>
          </w:tcPr>
          <w:p w:rsidR="00EF7750" w:rsidRPr="00800C80" w:rsidRDefault="00EF7750" w:rsidP="005A4645">
            <w:pPr>
              <w:spacing w:after="0" w:line="240" w:lineRule="auto"/>
              <w:rPr>
                <w:rFonts w:ascii="Cambria" w:hAnsi="Cambria" w:cs="Calibri"/>
                <w:b/>
              </w:rPr>
            </w:pPr>
            <w:r>
              <w:rPr>
                <w:rFonts w:ascii="Cambria" w:hAnsi="Cambria" w:cs="Calibri"/>
                <w:b/>
              </w:rPr>
              <w:t>3</w:t>
            </w:r>
            <w:r w:rsidRPr="00800C80">
              <w:rPr>
                <w:rFonts w:ascii="Cambria" w:hAnsi="Cambria" w:cs="Calibri"/>
                <w:b/>
              </w:rPr>
              <w:t xml:space="preserve"> SKS</w:t>
            </w:r>
          </w:p>
        </w:tc>
      </w:tr>
      <w:tr w:rsidR="00EF7750" w:rsidRPr="000A7333" w:rsidTr="00EF7750">
        <w:tc>
          <w:tcPr>
            <w:tcW w:w="4050" w:type="dxa"/>
            <w:gridSpan w:val="3"/>
            <w:tcBorders>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Dosen Pengampu</w:t>
            </w:r>
          </w:p>
        </w:tc>
        <w:tc>
          <w:tcPr>
            <w:tcW w:w="236" w:type="dxa"/>
            <w:tcBorders>
              <w:left w:val="nil"/>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w:t>
            </w:r>
          </w:p>
        </w:tc>
        <w:tc>
          <w:tcPr>
            <w:tcW w:w="4793" w:type="dxa"/>
            <w:gridSpan w:val="3"/>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rPr>
            </w:pPr>
            <w:r w:rsidRPr="00800C80">
              <w:rPr>
                <w:rFonts w:ascii="Cambria" w:hAnsi="Cambria" w:cs="Calibri"/>
                <w:b/>
              </w:rPr>
              <w:t xml:space="preserve">Dr. </w:t>
            </w:r>
            <w:r>
              <w:rPr>
                <w:rFonts w:ascii="Cambria" w:hAnsi="Cambria" w:cs="Calibri"/>
                <w:b/>
              </w:rPr>
              <w:t>SAPTO JUMONO, ME.</w:t>
            </w:r>
          </w:p>
        </w:tc>
        <w:tc>
          <w:tcPr>
            <w:tcW w:w="3622" w:type="dxa"/>
            <w:gridSpan w:val="2"/>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Kode Dosen</w:t>
            </w:r>
          </w:p>
        </w:tc>
        <w:tc>
          <w:tcPr>
            <w:tcW w:w="283" w:type="dxa"/>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w:t>
            </w:r>
          </w:p>
        </w:tc>
        <w:tc>
          <w:tcPr>
            <w:tcW w:w="1596" w:type="dxa"/>
            <w:tcBorders>
              <w:left w:val="nil"/>
              <w:bottom w:val="dotted" w:sz="4" w:space="0" w:color="auto"/>
            </w:tcBorders>
            <w:shd w:val="clear" w:color="auto" w:fill="auto"/>
          </w:tcPr>
          <w:p w:rsidR="00EF7750" w:rsidRPr="00800C80" w:rsidRDefault="00EF7750" w:rsidP="005A4645">
            <w:pPr>
              <w:spacing w:after="0" w:line="240" w:lineRule="auto"/>
              <w:rPr>
                <w:rFonts w:ascii="Cambria" w:hAnsi="Cambria" w:cs="Calibri"/>
                <w:b/>
              </w:rPr>
            </w:pPr>
            <w:r w:rsidRPr="00800C80">
              <w:rPr>
                <w:rFonts w:ascii="Cambria" w:hAnsi="Cambria" w:cs="Calibri"/>
                <w:b/>
              </w:rPr>
              <w:t>5731</w:t>
            </w:r>
          </w:p>
        </w:tc>
      </w:tr>
      <w:tr w:rsidR="00EF7750" w:rsidRPr="000A7333" w:rsidTr="00EF7750">
        <w:tc>
          <w:tcPr>
            <w:tcW w:w="4050" w:type="dxa"/>
            <w:gridSpan w:val="3"/>
            <w:tcBorders>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Alokasi Waktu</w:t>
            </w:r>
          </w:p>
        </w:tc>
        <w:tc>
          <w:tcPr>
            <w:tcW w:w="236" w:type="dxa"/>
            <w:tcBorders>
              <w:left w:val="nil"/>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w:t>
            </w:r>
          </w:p>
        </w:tc>
        <w:tc>
          <w:tcPr>
            <w:tcW w:w="10294" w:type="dxa"/>
            <w:gridSpan w:val="7"/>
            <w:tcBorders>
              <w:left w:val="nil"/>
              <w:bottom w:val="dotted" w:sz="4" w:space="0" w:color="auto"/>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id-ID"/>
              </w:rPr>
              <w:t>Tatap muka 14 x 150 menit, tidak ada praktik, tidak ada online</w:t>
            </w:r>
          </w:p>
        </w:tc>
      </w:tr>
      <w:tr w:rsidR="00EF7750" w:rsidRPr="000A7333" w:rsidTr="00EF7750">
        <w:trPr>
          <w:trHeight w:val="1248"/>
        </w:trPr>
        <w:tc>
          <w:tcPr>
            <w:tcW w:w="4050" w:type="dxa"/>
            <w:gridSpan w:val="3"/>
            <w:tcBorders>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id-ID"/>
              </w:rPr>
            </w:pPr>
            <w:r w:rsidRPr="00800C80">
              <w:rPr>
                <w:rFonts w:ascii="Cambria" w:hAnsi="Cambria" w:cs="Calibri"/>
                <w:b/>
                <w:lang w:val="id-ID"/>
              </w:rPr>
              <w:t>Capaian Pembelajaran</w:t>
            </w:r>
          </w:p>
        </w:tc>
        <w:tc>
          <w:tcPr>
            <w:tcW w:w="236" w:type="dxa"/>
            <w:tcBorders>
              <w:left w:val="nil"/>
              <w:bottom w:val="dotted" w:sz="4" w:space="0" w:color="auto"/>
              <w:right w:val="nil"/>
            </w:tcBorders>
            <w:shd w:val="clear" w:color="auto" w:fill="auto"/>
          </w:tcPr>
          <w:p w:rsidR="00EF7750" w:rsidRPr="00800C80" w:rsidRDefault="00EF7750" w:rsidP="005A4645">
            <w:pPr>
              <w:spacing w:after="0" w:line="240" w:lineRule="auto"/>
              <w:rPr>
                <w:rFonts w:ascii="Cambria" w:hAnsi="Cambria" w:cs="Calibri"/>
                <w:b/>
                <w:lang w:val="sv-SE"/>
              </w:rPr>
            </w:pPr>
            <w:r w:rsidRPr="00800C80">
              <w:rPr>
                <w:rFonts w:ascii="Cambria" w:hAnsi="Cambria" w:cs="Calibri"/>
                <w:b/>
                <w:lang w:val="sv-SE"/>
              </w:rPr>
              <w:t>:</w:t>
            </w:r>
          </w:p>
        </w:tc>
        <w:tc>
          <w:tcPr>
            <w:tcW w:w="10294" w:type="dxa"/>
            <w:gridSpan w:val="7"/>
            <w:tcBorders>
              <w:left w:val="nil"/>
              <w:bottom w:val="dotted" w:sz="4" w:space="0" w:color="auto"/>
            </w:tcBorders>
            <w:shd w:val="clear" w:color="auto" w:fill="auto"/>
          </w:tcPr>
          <w:p w:rsidR="00EF7750" w:rsidRPr="002E50DD" w:rsidRDefault="00EF7750" w:rsidP="005A4645">
            <w:pPr>
              <w:pStyle w:val="Header"/>
              <w:jc w:val="both"/>
              <w:rPr>
                <w:rFonts w:ascii="Cambria" w:hAnsi="Cambria"/>
                <w:b/>
                <w:bCs/>
                <w:sz w:val="22"/>
                <w:szCs w:val="22"/>
              </w:rPr>
            </w:pPr>
            <w:r w:rsidRPr="002E50DD">
              <w:rPr>
                <w:rFonts w:ascii="Cambria" w:hAnsi="Cambria"/>
                <w:sz w:val="22"/>
                <w:szCs w:val="22"/>
              </w:rPr>
              <w:t xml:space="preserve">Melakukan analisis secara </w:t>
            </w:r>
            <w:r w:rsidRPr="002E50DD">
              <w:rPr>
                <w:rFonts w:ascii="Cambria" w:hAnsi="Cambria"/>
                <w:sz w:val="22"/>
                <w:szCs w:val="22"/>
                <w:lang w:val="id-ID"/>
              </w:rPr>
              <w:t>pengetahuan teori dan praktis kepada mahasiswa tentang Manajemen Kinerja sehingga memiliki kemampuan, pemahaman, pengendalian dan kompetensi untuk menganalisis, mendesain dan mengembangkan sistem Evaluasi Kinerja khususnya tentang prinsip dasar dan standar Evaluasi Kinerja serta proses Manajemen Kinerja, Perencanaan Kinerja, Pembinaan Kinerja, Tolok Ukur Penilaian, Melaksanakan Penilaian, Umpan Balik dan Tindak Lanjut, Standar Pelayanan Publik dan juga Mengukur Kinerja Manajemen yang  terjadi di lingkungan perusahaan dan pemerintah.</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id-ID"/>
              </w:rPr>
              <w:t>SESI</w:t>
            </w:r>
          </w:p>
        </w:tc>
        <w:tc>
          <w:tcPr>
            <w:tcW w:w="3420" w:type="dxa"/>
            <w:gridSpan w:val="2"/>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KEMAMPUAN</w:t>
            </w:r>
          </w:p>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AKHIR</w:t>
            </w:r>
          </w:p>
        </w:tc>
        <w:tc>
          <w:tcPr>
            <w:tcW w:w="2790" w:type="dxa"/>
            <w:gridSpan w:val="2"/>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MATERI </w:t>
            </w:r>
          </w:p>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PEMBELAJARAN</w:t>
            </w:r>
          </w:p>
        </w:tc>
        <w:tc>
          <w:tcPr>
            <w:tcW w:w="2160" w:type="dxa"/>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 xml:space="preserve">BENTUK PEMBELAJARAN </w:t>
            </w:r>
          </w:p>
        </w:tc>
        <w:tc>
          <w:tcPr>
            <w:tcW w:w="3240" w:type="dxa"/>
            <w:gridSpan w:val="2"/>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 xml:space="preserve">SUMBER </w:t>
            </w:r>
          </w:p>
          <w:p w:rsidR="00EF7750" w:rsidRPr="003A06CC" w:rsidRDefault="00EF7750" w:rsidP="005A4645">
            <w:pPr>
              <w:spacing w:after="0" w:line="240" w:lineRule="auto"/>
              <w:jc w:val="center"/>
              <w:rPr>
                <w:rFonts w:ascii="Cambria" w:hAnsi="Cambria" w:cs="Segoe UI"/>
                <w:b/>
                <w:sz w:val="20"/>
                <w:szCs w:val="20"/>
                <w:lang w:val="sv-SE"/>
              </w:rPr>
            </w:pPr>
            <w:r w:rsidRPr="003A06CC">
              <w:rPr>
                <w:rFonts w:ascii="Cambria" w:hAnsi="Cambria" w:cs="Segoe UI"/>
                <w:b/>
                <w:sz w:val="20"/>
                <w:szCs w:val="20"/>
                <w:lang w:val="sv-SE"/>
              </w:rPr>
              <w:t>PEMBELAJARAN</w:t>
            </w:r>
          </w:p>
        </w:tc>
        <w:tc>
          <w:tcPr>
            <w:tcW w:w="2340" w:type="dxa"/>
            <w:gridSpan w:val="3"/>
            <w:tcBorders>
              <w:top w:val="single" w:sz="4" w:space="0" w:color="auto"/>
              <w:bottom w:val="single" w:sz="4" w:space="0" w:color="auto"/>
            </w:tcBorders>
            <w:shd w:val="clear" w:color="auto" w:fill="CCFFCC"/>
          </w:tcPr>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sv-SE"/>
              </w:rPr>
              <w:t>INDIKATOR</w:t>
            </w:r>
          </w:p>
          <w:p w:rsidR="00EF7750" w:rsidRPr="003A06CC" w:rsidRDefault="00EF7750" w:rsidP="005A4645">
            <w:pPr>
              <w:spacing w:after="0" w:line="240" w:lineRule="auto"/>
              <w:jc w:val="center"/>
              <w:rPr>
                <w:rFonts w:ascii="Cambria" w:hAnsi="Cambria" w:cs="Segoe UI"/>
                <w:b/>
                <w:sz w:val="20"/>
                <w:szCs w:val="20"/>
                <w:lang w:val="id-ID"/>
              </w:rPr>
            </w:pPr>
            <w:r w:rsidRPr="003A06CC">
              <w:rPr>
                <w:rFonts w:ascii="Cambria" w:hAnsi="Cambria" w:cs="Segoe UI"/>
                <w:b/>
                <w:sz w:val="20"/>
                <w:szCs w:val="20"/>
                <w:lang w:val="id-ID"/>
              </w:rPr>
              <w:t>PENILAIAN</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1"/>
        </w:trPr>
        <w:tc>
          <w:tcPr>
            <w:tcW w:w="630" w:type="dxa"/>
            <w:tcBorders>
              <w:bottom w:val="single" w:sz="4" w:space="0" w:color="auto"/>
            </w:tcBorders>
          </w:tcPr>
          <w:p w:rsidR="00EF7750" w:rsidRPr="002E50DD" w:rsidRDefault="00EF7750" w:rsidP="005A4645">
            <w:pPr>
              <w:spacing w:after="0" w:line="240" w:lineRule="auto"/>
              <w:jc w:val="center"/>
              <w:rPr>
                <w:rFonts w:ascii="Cambria" w:hAnsi="Cambria" w:cs="Calibri"/>
                <w:b/>
                <w:lang w:val="id-ID"/>
              </w:rPr>
            </w:pPr>
            <w:r w:rsidRPr="002E50DD">
              <w:rPr>
                <w:rFonts w:ascii="Cambria" w:hAnsi="Cambria" w:cs="Calibri"/>
                <w:b/>
                <w:lang w:val="id-ID"/>
              </w:rPr>
              <w:t>1</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rPr>
            </w:pPr>
            <w:r w:rsidRPr="002E50DD">
              <w:rPr>
                <w:rFonts w:ascii="Cambria" w:hAnsi="Cambria"/>
                <w:bCs/>
                <w:sz w:val="22"/>
                <w:szCs w:val="22"/>
                <w:lang w:val="id-ID"/>
              </w:rPr>
              <w:t xml:space="preserve">Mahasiswa mampu mengerti dan memahami </w:t>
            </w:r>
            <w:r w:rsidRPr="008A3ACC">
              <w:rPr>
                <w:rFonts w:ascii="Cambria" w:hAnsi="Cambria"/>
                <w:sz w:val="22"/>
                <w:szCs w:val="22"/>
              </w:rPr>
              <w:t>Risk and the Accounting Professio</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Risk and the Accounting Profession: Volatility, Uncertainty and Non Traditional Risks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aktif berdiskusi dan semua anggota kelompok memberikan pendapat.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menguasai materi kuliah yang dibahas pada perkuliahan hari ini.</w:t>
            </w:r>
          </w:p>
          <w:p w:rsidR="00EF7750" w:rsidRPr="002E50DD" w:rsidRDefault="00EF7750" w:rsidP="005A4645">
            <w:pPr>
              <w:pStyle w:val="Header"/>
              <w:rPr>
                <w:rFonts w:ascii="Cambria" w:hAnsi="Cambria"/>
                <w:bCs/>
                <w:sz w:val="22"/>
                <w:szCs w:val="22"/>
              </w:rPr>
            </w:pP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630" w:type="dxa"/>
            <w:tcBorders>
              <w:bottom w:val="single" w:sz="4" w:space="0" w:color="auto"/>
            </w:tcBorders>
          </w:tcPr>
          <w:p w:rsidR="00EF7750" w:rsidRPr="002E50DD" w:rsidRDefault="00EF7750" w:rsidP="005A4645">
            <w:pPr>
              <w:spacing w:after="0" w:line="240" w:lineRule="auto"/>
              <w:jc w:val="center"/>
              <w:rPr>
                <w:rFonts w:ascii="Cambria" w:hAnsi="Cambria" w:cs="Calibri"/>
                <w:b/>
                <w:lang w:val="id-ID"/>
              </w:rPr>
            </w:pPr>
            <w:r w:rsidRPr="002E50DD">
              <w:rPr>
                <w:rFonts w:ascii="Cambria" w:hAnsi="Cambria" w:cs="Calibri"/>
                <w:b/>
                <w:lang w:val="id-ID"/>
              </w:rPr>
              <w:t>2</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w:t>
            </w:r>
            <w:r w:rsidRPr="002E50DD">
              <w:rPr>
                <w:rFonts w:ascii="Cambria" w:hAnsi="Cambria"/>
                <w:bCs/>
                <w:sz w:val="22"/>
                <w:szCs w:val="22"/>
              </w:rPr>
              <w:t>m</w:t>
            </w:r>
            <w:r w:rsidRPr="002E50DD">
              <w:rPr>
                <w:rFonts w:ascii="Cambria" w:hAnsi="Cambria"/>
                <w:bCs/>
                <w:sz w:val="22"/>
                <w:szCs w:val="22"/>
                <w:lang w:val="id-ID"/>
              </w:rPr>
              <w:t>ampu memahami</w:t>
            </w:r>
            <w:r w:rsidRPr="002E50DD">
              <w:rPr>
                <w:rFonts w:ascii="Cambria" w:hAnsi="Cambria"/>
                <w:bCs/>
                <w:sz w:val="22"/>
                <w:szCs w:val="22"/>
              </w:rPr>
              <w:t xml:space="preserve"> </w:t>
            </w:r>
            <w:r w:rsidRPr="008A3ACC">
              <w:rPr>
                <w:rFonts w:ascii="Cambria" w:hAnsi="Cambria"/>
                <w:sz w:val="22"/>
                <w:szCs w:val="22"/>
              </w:rPr>
              <w:t>Risk Management and the Accountant</w:t>
            </w:r>
            <w:r w:rsidRPr="002E50DD">
              <w:rPr>
                <w:rFonts w:ascii="Cambria" w:hAnsi="Cambria"/>
                <w:bCs/>
                <w:sz w:val="22"/>
                <w:szCs w:val="22"/>
                <w:lang w:val="id-ID"/>
              </w:rPr>
              <w:t xml:space="preserve"> </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Risk Management and the Accountant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lastRenderedPageBreak/>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Peserta didik aktif berdiskusi dan semua anggota kelompok memberikan pendapat.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Peserta didik mampu menyelesaikan tugas dari dosen.</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cs="Calibri"/>
                <w:b/>
              </w:rPr>
            </w:pPr>
            <w:r w:rsidRPr="002E50DD">
              <w:rPr>
                <w:rFonts w:ascii="Cambria" w:hAnsi="Cambria" w:cs="Calibri"/>
                <w:b/>
              </w:rPr>
              <w:lastRenderedPageBreak/>
              <w:t>3</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dan menganalisis </w:t>
            </w:r>
            <w:r w:rsidRPr="008A3ACC">
              <w:rPr>
                <w:rFonts w:ascii="Cambria" w:hAnsi="Cambria"/>
                <w:sz w:val="22"/>
                <w:szCs w:val="22"/>
              </w:rPr>
              <w:t>Duties and Responsibilities in Risk Accounting</w:t>
            </w:r>
            <w:r w:rsidRPr="002E50DD">
              <w:rPr>
                <w:rFonts w:ascii="Cambria" w:hAnsi="Cambria"/>
                <w:bCs/>
                <w:sz w:val="22"/>
                <w:szCs w:val="22"/>
                <w:lang w:val="id-ID"/>
              </w:rPr>
              <w:t>.</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Duties and Responsibilities in Risk Accounting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aktif mampu menyelesaikan dan menganalisis tentang strategi sumber daya manusia dan mengembangkan sistem evaluasi kinerja.</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cs="Calibri"/>
                <w:b/>
              </w:rPr>
            </w:pPr>
            <w:r w:rsidRPr="002E50DD">
              <w:rPr>
                <w:rFonts w:ascii="Cambria" w:hAnsi="Cambria" w:cs="Calibri"/>
                <w:b/>
              </w:rPr>
              <w:t>4</w:t>
            </w:r>
          </w:p>
        </w:tc>
        <w:tc>
          <w:tcPr>
            <w:tcW w:w="3420" w:type="dxa"/>
            <w:gridSpan w:val="2"/>
            <w:shd w:val="clear" w:color="auto" w:fill="auto"/>
          </w:tcPr>
          <w:p w:rsidR="00EF7750" w:rsidRPr="002E50DD" w:rsidRDefault="00EF7750" w:rsidP="005A4645">
            <w:pPr>
              <w:pStyle w:val="Header"/>
              <w:rPr>
                <w:rFonts w:ascii="Cambria" w:hAnsi="Cambria"/>
                <w:bCs/>
                <w:sz w:val="22"/>
                <w:szCs w:val="22"/>
              </w:rPr>
            </w:pPr>
            <w:r w:rsidRPr="002E50DD">
              <w:rPr>
                <w:rFonts w:ascii="Cambria" w:hAnsi="Cambria"/>
                <w:bCs/>
                <w:sz w:val="22"/>
                <w:szCs w:val="22"/>
                <w:lang w:val="id-ID"/>
              </w:rPr>
              <w:t xml:space="preserve">Mahasiswa mampu mengerti dan memahami </w:t>
            </w:r>
            <w:r w:rsidRPr="00E87A11">
              <w:rPr>
                <w:rFonts w:ascii="Cambria" w:hAnsi="Cambria"/>
                <w:sz w:val="22"/>
                <w:szCs w:val="22"/>
              </w:rPr>
              <w:t>Accounting for Total Exposure</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Accounting for Total Exposure: A Case Study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menjelaskan berbagai hambatan dibidang hukum, politik, norma sosial dam hambatan pribadi, mengidentifikasi cara cara mengurangi bias penilaian.</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cs="Calibri"/>
                <w:b/>
              </w:rPr>
            </w:pPr>
            <w:r w:rsidRPr="002E50DD">
              <w:rPr>
                <w:rFonts w:ascii="Cambria" w:hAnsi="Cambria" w:cs="Calibri"/>
                <w:b/>
              </w:rPr>
              <w:t>5</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mengerti dan </w:t>
            </w:r>
            <w:r w:rsidRPr="002E50DD">
              <w:rPr>
                <w:rFonts w:ascii="Cambria" w:hAnsi="Cambria"/>
                <w:bCs/>
                <w:sz w:val="22"/>
                <w:szCs w:val="22"/>
                <w:lang w:val="id-ID"/>
              </w:rPr>
              <w:lastRenderedPageBreak/>
              <w:t xml:space="preserve">memahami </w:t>
            </w:r>
            <w:r w:rsidRPr="00E87A11">
              <w:rPr>
                <w:rFonts w:ascii="Cambria" w:hAnsi="Cambria"/>
                <w:sz w:val="22"/>
                <w:szCs w:val="22"/>
              </w:rPr>
              <w:t>Credit Risk</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lastRenderedPageBreak/>
              <w:t xml:space="preserve">Credit Risk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lastRenderedPageBreak/>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lastRenderedPageBreak/>
              <w:t xml:space="preserve">Dimitris N. Chorafas, 2008, Risk </w:t>
            </w:r>
            <w:r w:rsidRPr="002E50DD">
              <w:rPr>
                <w:rFonts w:ascii="Cambria" w:hAnsi="Cambria" w:cs="Calibri"/>
                <w:color w:val="000000"/>
                <w:sz w:val="20"/>
                <w:szCs w:val="20"/>
              </w:rPr>
              <w:lastRenderedPageBreak/>
              <w:t xml:space="preserve">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 xml:space="preserve">Peserta didik aktif </w:t>
            </w:r>
            <w:r w:rsidRPr="002E50DD">
              <w:rPr>
                <w:rFonts w:ascii="Cambria" w:hAnsi="Cambria"/>
                <w:bCs/>
                <w:sz w:val="22"/>
                <w:szCs w:val="22"/>
                <w:lang w:val="id-ID"/>
              </w:rPr>
              <w:lastRenderedPageBreak/>
              <w:t>berdiskusi dan semua anggota kelompok memberikan pendapat.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menguasai materi kuliah yang dibahas pada perkuliahan yang dibahas hari ini</w:t>
            </w:r>
            <w:r w:rsidRPr="002E50DD">
              <w:rPr>
                <w:rFonts w:ascii="Cambria" w:hAnsi="Cambria"/>
                <w:bCs/>
                <w:sz w:val="22"/>
                <w:szCs w:val="22"/>
              </w:rPr>
              <w:t>.</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b/>
              </w:rPr>
            </w:pPr>
            <w:r w:rsidRPr="002E50DD">
              <w:rPr>
                <w:rFonts w:ascii="Cambria" w:hAnsi="Cambria"/>
                <w:b/>
              </w:rPr>
              <w:lastRenderedPageBreak/>
              <w:t>6</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dan menganalisa </w:t>
            </w:r>
            <w:r w:rsidRPr="00E87A11">
              <w:rPr>
                <w:rFonts w:ascii="Cambria" w:hAnsi="Cambria"/>
                <w:sz w:val="22"/>
                <w:szCs w:val="22"/>
              </w:rPr>
              <w:t>Credit Risk Mitigation</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Credit Risk Mitigation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aktif  mengikuti kuliah umum dari dosen tamu.</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menguasai materi kuliah yang didiskusikan dan membuat laporan dari hasil materi yang disampaikan Dosen Tamu.</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b/>
              </w:rPr>
            </w:pPr>
            <w:r w:rsidRPr="002E50DD">
              <w:rPr>
                <w:rFonts w:ascii="Cambria" w:hAnsi="Cambria"/>
                <w:b/>
              </w:rPr>
              <w:t>7</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w:t>
            </w:r>
            <w:r w:rsidRPr="00E87A11">
              <w:rPr>
                <w:rFonts w:ascii="Cambria" w:hAnsi="Cambria"/>
                <w:sz w:val="22"/>
                <w:szCs w:val="22"/>
              </w:rPr>
              <w:t>Market Risk</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Market Risk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aktif berdiskusi dan semua anggota kelompok memberikan pendapat.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menguasai materi kuliah yang didiskusikan.</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b/>
              </w:rPr>
            </w:pPr>
            <w:r w:rsidRPr="002E50DD">
              <w:rPr>
                <w:rFonts w:ascii="Cambria" w:hAnsi="Cambria"/>
                <w:b/>
              </w:rPr>
              <w:t>8</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dan mengimplementasikan </w:t>
            </w:r>
            <w:r w:rsidRPr="00E87A11">
              <w:rPr>
                <w:rFonts w:ascii="Cambria" w:hAnsi="Cambria"/>
                <w:sz w:val="22"/>
                <w:szCs w:val="22"/>
              </w:rPr>
              <w:lastRenderedPageBreak/>
              <w:t>Position Risk</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lastRenderedPageBreak/>
              <w:t xml:space="preserve">Position Risk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lastRenderedPageBreak/>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lastRenderedPageBreak/>
              <w:t xml:space="preserve">Dimitris N. Chorafas, 2008, Risk Accounting and Risk Management </w:t>
            </w:r>
            <w:r w:rsidRPr="002E50DD">
              <w:rPr>
                <w:rFonts w:ascii="Cambria" w:hAnsi="Cambria" w:cs="Calibri"/>
                <w:color w:val="000000"/>
                <w:sz w:val="20"/>
                <w:szCs w:val="20"/>
              </w:rPr>
              <w:lastRenderedPageBreak/>
              <w:t xml:space="preserve">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 xml:space="preserve">Peserta didik mampu </w:t>
            </w:r>
            <w:r w:rsidRPr="002E50DD">
              <w:rPr>
                <w:rFonts w:ascii="Cambria" w:hAnsi="Cambria"/>
                <w:bCs/>
                <w:sz w:val="22"/>
                <w:szCs w:val="22"/>
                <w:lang w:val="id-ID"/>
              </w:rPr>
              <w:lastRenderedPageBreak/>
              <w:t>menyelesaikan dan menganalisis berbagai aspek kinerja dan proses evaluasi kinerja.</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EF7750" w:rsidRPr="002E50DD" w:rsidRDefault="00EF7750" w:rsidP="005A4645">
            <w:pPr>
              <w:spacing w:after="0" w:line="240" w:lineRule="auto"/>
              <w:jc w:val="center"/>
              <w:rPr>
                <w:rFonts w:ascii="Cambria" w:hAnsi="Cambria"/>
                <w:b/>
              </w:rPr>
            </w:pPr>
            <w:r w:rsidRPr="002E50DD">
              <w:rPr>
                <w:rFonts w:ascii="Cambria" w:hAnsi="Cambria"/>
                <w:b/>
              </w:rPr>
              <w:lastRenderedPageBreak/>
              <w:t>9</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proses </w:t>
            </w:r>
            <w:r w:rsidRPr="00F43726">
              <w:rPr>
                <w:rFonts w:ascii="Cambria" w:hAnsi="Cambria"/>
                <w:sz w:val="22"/>
                <w:szCs w:val="22"/>
              </w:rPr>
              <w:t>Beyond Credit Risk and Market Risk</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Beyond Credit Risk and Market Risk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dan menganalisis berbagai aspek kinerja dan proses evaluasi kinerja.</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r w:rsidRPr="002E50DD">
              <w:rPr>
                <w:rFonts w:ascii="Cambria" w:hAnsi="Cambria"/>
                <w:bCs/>
                <w:sz w:val="22"/>
                <w:szCs w:val="22"/>
              </w:rPr>
              <w:t>.</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EF7750" w:rsidRPr="002E50DD" w:rsidRDefault="00EF7750" w:rsidP="005A4645">
            <w:pPr>
              <w:spacing w:after="0" w:line="240" w:lineRule="auto"/>
              <w:jc w:val="center"/>
              <w:rPr>
                <w:rFonts w:ascii="Cambria" w:hAnsi="Cambria"/>
                <w:b/>
              </w:rPr>
            </w:pPr>
            <w:r w:rsidRPr="002E50DD">
              <w:rPr>
                <w:rFonts w:ascii="Cambria" w:hAnsi="Cambria"/>
                <w:b/>
                <w:lang w:val="id-ID"/>
              </w:rPr>
              <w:t>1</w:t>
            </w:r>
            <w:r w:rsidRPr="002E50DD">
              <w:rPr>
                <w:rFonts w:ascii="Cambria" w:hAnsi="Cambria"/>
                <w:b/>
              </w:rPr>
              <w:t>0</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mengerti dan memahami </w:t>
            </w:r>
            <w:r w:rsidRPr="00F43726">
              <w:rPr>
                <w:rFonts w:ascii="Cambria" w:hAnsi="Cambria"/>
                <w:sz w:val="22"/>
                <w:szCs w:val="22"/>
              </w:rPr>
              <w:t>Basel II and the Accountant</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Basel II and the Accountant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aktif  mengikuti kuliah umum dari Dosen Tamu.</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menguasai materi kuliah yang didiskusikan dan membuat laporan dari hasil materi yang disampaikan Dosen Tamu</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EF7750" w:rsidRPr="002E50DD" w:rsidRDefault="00EF7750" w:rsidP="005A4645">
            <w:pPr>
              <w:spacing w:after="0" w:line="240" w:lineRule="auto"/>
              <w:jc w:val="center"/>
              <w:rPr>
                <w:rFonts w:ascii="Cambria" w:hAnsi="Cambria"/>
                <w:b/>
              </w:rPr>
            </w:pPr>
            <w:r w:rsidRPr="002E50DD">
              <w:rPr>
                <w:rFonts w:ascii="Cambria" w:hAnsi="Cambria"/>
                <w:b/>
                <w:lang w:val="id-ID"/>
              </w:rPr>
              <w:t>1</w:t>
            </w:r>
            <w:r w:rsidRPr="002E50DD">
              <w:rPr>
                <w:rFonts w:ascii="Cambria" w:hAnsi="Cambria"/>
                <w:b/>
              </w:rPr>
              <w:t>1</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mengerti dan memahami beberapa sistem </w:t>
            </w:r>
            <w:r w:rsidRPr="00F43726">
              <w:rPr>
                <w:rFonts w:ascii="Cambria" w:hAnsi="Cambria"/>
                <w:sz w:val="22"/>
                <w:szCs w:val="22"/>
              </w:rPr>
              <w:t>Operational Risks</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Operational Risks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w:t>
            </w:r>
            <w:r w:rsidRPr="002E50DD">
              <w:rPr>
                <w:rFonts w:ascii="Cambria" w:hAnsi="Cambria" w:cs="Calibri"/>
                <w:color w:val="000000"/>
                <w:sz w:val="20"/>
                <w:szCs w:val="20"/>
              </w:rPr>
              <w:lastRenderedPageBreak/>
              <w:t xml:space="preserve">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 xml:space="preserve">Peserta didik mampu menjelaskan beberapa sistem evaluasi kinerja </w:t>
            </w:r>
            <w:r w:rsidRPr="002E50DD">
              <w:rPr>
                <w:rFonts w:ascii="Cambria" w:hAnsi="Cambria"/>
                <w:bCs/>
                <w:sz w:val="22"/>
                <w:szCs w:val="22"/>
                <w:lang w:val="id-ID"/>
              </w:rPr>
              <w:lastRenderedPageBreak/>
              <w:t>dilingkungan PNS, Bank Swasta dan Perum Pegadaian</w:t>
            </w:r>
            <w:r w:rsidRPr="002E50DD">
              <w:rPr>
                <w:rFonts w:ascii="Cambria" w:hAnsi="Cambria"/>
                <w:bCs/>
                <w:sz w:val="22"/>
                <w:szCs w:val="22"/>
              </w:rPr>
              <w: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r w:rsidRPr="002E50DD">
              <w:rPr>
                <w:rFonts w:ascii="Cambria" w:hAnsi="Cambria"/>
                <w:bCs/>
                <w:sz w:val="22"/>
                <w:szCs w:val="22"/>
              </w:rPr>
              <w:t>.</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EF7750" w:rsidRPr="002E50DD" w:rsidRDefault="00EF7750" w:rsidP="005A4645">
            <w:pPr>
              <w:spacing w:after="0" w:line="240" w:lineRule="auto"/>
              <w:jc w:val="center"/>
              <w:rPr>
                <w:rFonts w:ascii="Cambria" w:hAnsi="Cambria"/>
                <w:b/>
              </w:rPr>
            </w:pPr>
            <w:r w:rsidRPr="002E50DD">
              <w:rPr>
                <w:rFonts w:ascii="Cambria" w:hAnsi="Cambria"/>
                <w:b/>
                <w:lang w:val="id-ID"/>
              </w:rPr>
              <w:lastRenderedPageBreak/>
              <w:t>1</w:t>
            </w:r>
            <w:r w:rsidRPr="002E50DD">
              <w:rPr>
                <w:rFonts w:ascii="Cambria" w:hAnsi="Cambria"/>
                <w:b/>
              </w:rPr>
              <w:t>2</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memahami dan menganalisis </w:t>
            </w:r>
            <w:r w:rsidRPr="00F43726">
              <w:rPr>
                <w:rFonts w:ascii="Cambria" w:hAnsi="Cambria"/>
                <w:sz w:val="22"/>
                <w:szCs w:val="22"/>
              </w:rPr>
              <w:t>Risk Based Pricing</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Risk Based Pricing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berbagai sistem evaluasi kinerja pada organisasi / perusahaan Internasional seperti PBB, MNC</w:t>
            </w:r>
            <w:r w:rsidRPr="002E50DD">
              <w:rPr>
                <w:rFonts w:ascii="Cambria" w:hAnsi="Cambria"/>
                <w:bCs/>
                <w:sz w:val="22"/>
                <w:szCs w:val="22"/>
              </w:rPr>
              <w: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r w:rsidRPr="002E50DD">
              <w:rPr>
                <w:rFonts w:ascii="Cambria" w:hAnsi="Cambria"/>
                <w:bCs/>
                <w:sz w:val="22"/>
                <w:szCs w:val="22"/>
              </w:rPr>
              <w:t>.</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Pr>
          <w:p w:rsidR="00EF7750" w:rsidRPr="002E50DD" w:rsidRDefault="00EF7750" w:rsidP="005A4645">
            <w:pPr>
              <w:spacing w:after="0" w:line="240" w:lineRule="auto"/>
              <w:jc w:val="center"/>
              <w:rPr>
                <w:rFonts w:ascii="Cambria" w:hAnsi="Cambria"/>
                <w:b/>
              </w:rPr>
            </w:pPr>
            <w:r w:rsidRPr="002E50DD">
              <w:rPr>
                <w:rFonts w:ascii="Cambria" w:hAnsi="Cambria"/>
                <w:b/>
                <w:lang w:val="id-ID"/>
              </w:rPr>
              <w:t>1</w:t>
            </w:r>
            <w:r w:rsidRPr="002E50DD">
              <w:rPr>
                <w:rFonts w:ascii="Cambria" w:hAnsi="Cambria"/>
                <w:b/>
              </w:rPr>
              <w:t>3</w:t>
            </w:r>
          </w:p>
        </w:tc>
        <w:tc>
          <w:tcPr>
            <w:tcW w:w="3420" w:type="dxa"/>
            <w:gridSpan w:val="2"/>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mengerti dan memahami implikasi </w:t>
            </w:r>
            <w:r w:rsidRPr="00F43726">
              <w:rPr>
                <w:rFonts w:ascii="Cambria" w:hAnsi="Cambria"/>
                <w:sz w:val="22"/>
                <w:szCs w:val="22"/>
              </w:rPr>
              <w:t>Value at Risk</w:t>
            </w:r>
          </w:p>
        </w:tc>
        <w:tc>
          <w:tcPr>
            <w:tcW w:w="2790" w:type="dxa"/>
            <w:gridSpan w:val="2"/>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Value at Risk </w:t>
            </w:r>
          </w:p>
        </w:tc>
        <w:tc>
          <w:tcPr>
            <w:tcW w:w="2160" w:type="dxa"/>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menguasai materi kuliah yang dibahas pada perkuliahan hari ini</w:t>
            </w:r>
            <w:r w:rsidRPr="002E50DD">
              <w:rPr>
                <w:rFonts w:ascii="Cambria" w:hAnsi="Cambria"/>
                <w:bCs/>
                <w:sz w:val="22"/>
                <w:szCs w:val="22"/>
              </w:rPr>
              <w:t>.</w:t>
            </w:r>
          </w:p>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t>Peserta didik mampu menyelesaikan tugas tepat waktu</w:t>
            </w:r>
            <w:r w:rsidRPr="002E50DD">
              <w:rPr>
                <w:rFonts w:ascii="Cambria" w:hAnsi="Cambria"/>
                <w:bCs/>
                <w:sz w:val="22"/>
                <w:szCs w:val="22"/>
              </w:rPr>
              <w:t>.</w:t>
            </w:r>
          </w:p>
        </w:tc>
      </w:tr>
      <w:tr w:rsidR="00EF7750" w:rsidRPr="000A7333" w:rsidTr="00EF7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tcPr>
          <w:p w:rsidR="00EF7750" w:rsidRPr="002E50DD" w:rsidRDefault="00EF7750" w:rsidP="005A4645">
            <w:pPr>
              <w:spacing w:after="0" w:line="240" w:lineRule="auto"/>
              <w:jc w:val="center"/>
              <w:rPr>
                <w:rFonts w:ascii="Cambria" w:hAnsi="Cambria" w:cs="Segoe UI"/>
                <w:b/>
              </w:rPr>
            </w:pPr>
            <w:r w:rsidRPr="002E50DD">
              <w:rPr>
                <w:rFonts w:ascii="Cambria" w:hAnsi="Cambria" w:cs="Segoe UI"/>
                <w:b/>
              </w:rPr>
              <w:t>14</w:t>
            </w:r>
          </w:p>
        </w:tc>
        <w:tc>
          <w:tcPr>
            <w:tcW w:w="3420" w:type="dxa"/>
            <w:gridSpan w:val="2"/>
            <w:tcBorders>
              <w:bottom w:val="single" w:sz="4" w:space="0" w:color="auto"/>
            </w:tcBorders>
            <w:shd w:val="clear" w:color="auto" w:fill="auto"/>
          </w:tcPr>
          <w:p w:rsidR="00EF7750" w:rsidRPr="002E50DD" w:rsidRDefault="00EF7750" w:rsidP="005A4645">
            <w:pPr>
              <w:pStyle w:val="Header"/>
              <w:rPr>
                <w:rFonts w:ascii="Cambria" w:hAnsi="Cambria"/>
                <w:bCs/>
                <w:sz w:val="22"/>
                <w:szCs w:val="22"/>
                <w:lang w:val="id-ID"/>
              </w:rPr>
            </w:pPr>
            <w:r w:rsidRPr="002E50DD">
              <w:rPr>
                <w:rFonts w:ascii="Cambria" w:hAnsi="Cambria"/>
                <w:bCs/>
                <w:sz w:val="22"/>
                <w:szCs w:val="22"/>
                <w:lang w:val="id-ID"/>
              </w:rPr>
              <w:t xml:space="preserve">Mahasiswa mampu menyusun </w:t>
            </w:r>
            <w:r w:rsidRPr="00F43726">
              <w:rPr>
                <w:rFonts w:ascii="Cambria" w:hAnsi="Cambria"/>
                <w:sz w:val="22"/>
                <w:szCs w:val="22"/>
              </w:rPr>
              <w:t>Board of Directors and Risk Management</w:t>
            </w:r>
          </w:p>
        </w:tc>
        <w:tc>
          <w:tcPr>
            <w:tcW w:w="2790" w:type="dxa"/>
            <w:gridSpan w:val="2"/>
            <w:tcBorders>
              <w:bottom w:val="single" w:sz="4" w:space="0" w:color="auto"/>
            </w:tcBorders>
            <w:shd w:val="clear" w:color="auto" w:fill="auto"/>
          </w:tcPr>
          <w:p w:rsidR="00EF7750" w:rsidRPr="002E50DD" w:rsidRDefault="00EF7750" w:rsidP="005A4645">
            <w:pPr>
              <w:pStyle w:val="Default"/>
              <w:jc w:val="both"/>
              <w:rPr>
                <w:rFonts w:ascii="Cambria" w:hAnsi="Cambria" w:cs="Times New Roman"/>
                <w:sz w:val="22"/>
                <w:szCs w:val="22"/>
              </w:rPr>
            </w:pPr>
            <w:r w:rsidRPr="002E50DD">
              <w:rPr>
                <w:rFonts w:ascii="Cambria" w:hAnsi="Cambria" w:cs="Times New Roman"/>
                <w:sz w:val="22"/>
                <w:szCs w:val="22"/>
              </w:rPr>
              <w:t xml:space="preserve">Board of Directors and Risk Management </w:t>
            </w:r>
          </w:p>
        </w:tc>
        <w:tc>
          <w:tcPr>
            <w:tcW w:w="2160" w:type="dxa"/>
            <w:tcBorders>
              <w:bottom w:val="single" w:sz="4" w:space="0" w:color="auto"/>
            </w:tcBorders>
            <w:shd w:val="clear" w:color="auto" w:fill="auto"/>
          </w:tcPr>
          <w:p w:rsidR="00EF7750" w:rsidRPr="002E50DD" w:rsidRDefault="00EF7750" w:rsidP="005A4645">
            <w:pPr>
              <w:spacing w:after="0" w:line="240" w:lineRule="auto"/>
              <w:rPr>
                <w:rFonts w:ascii="Cambria" w:hAnsi="Cambria" w:cs="Calibri"/>
              </w:rPr>
            </w:pPr>
            <w:r w:rsidRPr="002E50DD">
              <w:rPr>
                <w:rFonts w:ascii="Cambria" w:hAnsi="Cambria" w:cs="Calibri"/>
              </w:rPr>
              <w:t>- Presentasi</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Small Grup    </w:t>
            </w:r>
          </w:p>
          <w:p w:rsidR="00EF7750" w:rsidRPr="002E50DD" w:rsidRDefault="00EF7750" w:rsidP="005A4645">
            <w:pPr>
              <w:spacing w:after="0" w:line="240" w:lineRule="auto"/>
              <w:rPr>
                <w:rFonts w:ascii="Cambria" w:hAnsi="Cambria" w:cs="Calibri"/>
              </w:rPr>
            </w:pPr>
            <w:r w:rsidRPr="002E50DD">
              <w:rPr>
                <w:rFonts w:ascii="Cambria" w:hAnsi="Cambria" w:cs="Calibri"/>
              </w:rPr>
              <w:t xml:space="preserve">  Diskusi</w:t>
            </w:r>
          </w:p>
          <w:p w:rsidR="00EF7750" w:rsidRPr="002E50DD" w:rsidRDefault="00EF7750" w:rsidP="005A4645">
            <w:pPr>
              <w:spacing w:after="0" w:line="240" w:lineRule="auto"/>
              <w:rPr>
                <w:rFonts w:ascii="Cambria" w:hAnsi="Cambria" w:cs="Calibri"/>
              </w:rPr>
            </w:pPr>
            <w:r w:rsidRPr="002E50DD">
              <w:rPr>
                <w:rFonts w:ascii="Cambria" w:hAnsi="Cambria" w:cs="Calibri"/>
              </w:rPr>
              <w:t>- studi kasus</w:t>
            </w:r>
          </w:p>
        </w:tc>
        <w:tc>
          <w:tcPr>
            <w:tcW w:w="3240" w:type="dxa"/>
            <w:gridSpan w:val="2"/>
            <w:tcBorders>
              <w:bottom w:val="single" w:sz="4" w:space="0" w:color="auto"/>
            </w:tcBorders>
            <w:shd w:val="clear" w:color="auto" w:fill="auto"/>
          </w:tcPr>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Dimitris N. Chorafas, 2008, Risk Accounting and Risk Management for Accountants, CIMA Publisher.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Carol Alexander, 2003, Operational Risk, Regulation, Analysis and </w:t>
            </w:r>
            <w:r w:rsidRPr="002E50DD">
              <w:rPr>
                <w:rFonts w:ascii="Cambria" w:hAnsi="Cambria" w:cs="Calibri"/>
                <w:color w:val="000000"/>
                <w:sz w:val="20"/>
                <w:szCs w:val="20"/>
              </w:rPr>
              <w:lastRenderedPageBreak/>
              <w:t xml:space="preserve">Management, Prentice Hall.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Allen, Boudoukh and Saunders, 2004, Understanding Market, Credit and Operational Risk. </w:t>
            </w:r>
          </w:p>
          <w:p w:rsidR="00EF7750" w:rsidRPr="002E50DD" w:rsidRDefault="00EF7750" w:rsidP="00EF7750">
            <w:pPr>
              <w:numPr>
                <w:ilvl w:val="1"/>
                <w:numId w:val="2"/>
              </w:numPr>
              <w:autoSpaceDE w:val="0"/>
              <w:autoSpaceDN w:val="0"/>
              <w:adjustRightInd w:val="0"/>
              <w:spacing w:after="0" w:line="240" w:lineRule="auto"/>
              <w:ind w:left="0" w:hanging="115"/>
              <w:rPr>
                <w:rFonts w:ascii="Cambria" w:hAnsi="Cambria" w:cs="Calibri"/>
                <w:color w:val="000000"/>
                <w:sz w:val="20"/>
                <w:szCs w:val="20"/>
              </w:rPr>
            </w:pPr>
            <w:r w:rsidRPr="002E50DD">
              <w:rPr>
                <w:rFonts w:ascii="Cambria" w:hAnsi="Cambria" w:cs="Calibri"/>
                <w:color w:val="000000"/>
                <w:sz w:val="20"/>
                <w:szCs w:val="20"/>
              </w:rPr>
              <w:t xml:space="preserve">Mamduh, 2009, Manajemen Risiko, UPP STIM YKPN. </w:t>
            </w:r>
          </w:p>
          <w:p w:rsidR="00EF7750" w:rsidRPr="002E50DD" w:rsidRDefault="00EF7750" w:rsidP="005A4645">
            <w:pPr>
              <w:autoSpaceDE w:val="0"/>
              <w:autoSpaceDN w:val="0"/>
              <w:adjustRightInd w:val="0"/>
              <w:spacing w:after="0" w:line="240" w:lineRule="auto"/>
              <w:ind w:hanging="115"/>
              <w:rPr>
                <w:rFonts w:ascii="Cambria" w:eastAsia="Arial Unicode MS" w:hAnsi="Cambria" w:cs="Arial Unicode MS"/>
                <w:sz w:val="20"/>
                <w:szCs w:val="20"/>
              </w:rPr>
            </w:pPr>
          </w:p>
        </w:tc>
        <w:tc>
          <w:tcPr>
            <w:tcW w:w="2340" w:type="dxa"/>
            <w:gridSpan w:val="3"/>
            <w:tcBorders>
              <w:bottom w:val="single" w:sz="4" w:space="0" w:color="auto"/>
            </w:tcBorders>
            <w:shd w:val="clear" w:color="auto" w:fill="auto"/>
          </w:tcPr>
          <w:p w:rsidR="00EF7750" w:rsidRPr="002E50DD" w:rsidRDefault="00EF7750" w:rsidP="00EF7750">
            <w:pPr>
              <w:pStyle w:val="Header"/>
              <w:numPr>
                <w:ilvl w:val="0"/>
                <w:numId w:val="1"/>
              </w:numPr>
              <w:tabs>
                <w:tab w:val="clear" w:pos="4320"/>
                <w:tab w:val="clear" w:pos="8640"/>
              </w:tabs>
              <w:ind w:left="162" w:hanging="162"/>
              <w:rPr>
                <w:rFonts w:ascii="Cambria" w:hAnsi="Cambria"/>
                <w:bCs/>
                <w:sz w:val="22"/>
                <w:szCs w:val="22"/>
              </w:rPr>
            </w:pPr>
            <w:r w:rsidRPr="002E50DD">
              <w:rPr>
                <w:rFonts w:ascii="Cambria" w:hAnsi="Cambria"/>
                <w:bCs/>
                <w:sz w:val="22"/>
                <w:szCs w:val="22"/>
                <w:lang w:val="id-ID"/>
              </w:rPr>
              <w:lastRenderedPageBreak/>
              <w:t>Peserta didik mampu menyelesaikan hasil penelitian dengan tepat waktu</w:t>
            </w:r>
            <w:r w:rsidRPr="002E50DD">
              <w:rPr>
                <w:rFonts w:ascii="Cambria" w:hAnsi="Cambria"/>
                <w:bCs/>
                <w:sz w:val="22"/>
                <w:szCs w:val="22"/>
              </w:rPr>
              <w:t xml:space="preserve">. </w:t>
            </w:r>
          </w:p>
        </w:tc>
      </w:tr>
    </w:tbl>
    <w:p w:rsidR="00EF7750" w:rsidRDefault="00EF7750" w:rsidP="00EF7750">
      <w:pPr>
        <w:autoSpaceDE w:val="0"/>
        <w:autoSpaceDN w:val="0"/>
        <w:adjustRightInd w:val="0"/>
        <w:spacing w:after="0" w:line="240" w:lineRule="auto"/>
        <w:ind w:left="5040" w:firstLine="720"/>
        <w:rPr>
          <w:rFonts w:ascii="Segoe UI" w:hAnsi="Segoe UI" w:cs="Segoe UI"/>
          <w:b/>
        </w:rPr>
      </w:pPr>
    </w:p>
    <w:p w:rsidR="00EF7750" w:rsidRDefault="00EF7750" w:rsidP="00EF7750">
      <w:pPr>
        <w:autoSpaceDE w:val="0"/>
        <w:autoSpaceDN w:val="0"/>
        <w:adjustRightInd w:val="0"/>
        <w:spacing w:after="0" w:line="240" w:lineRule="auto"/>
        <w:ind w:left="5040" w:firstLine="720"/>
        <w:rPr>
          <w:rFonts w:ascii="Segoe UI" w:hAnsi="Segoe UI" w:cs="Segoe UI"/>
          <w:b/>
        </w:rPr>
      </w:pPr>
    </w:p>
    <w:p w:rsidR="00EF7750" w:rsidRPr="00D97B17" w:rsidRDefault="00EF7750" w:rsidP="00EF7750">
      <w:pPr>
        <w:autoSpaceDE w:val="0"/>
        <w:autoSpaceDN w:val="0"/>
        <w:adjustRightInd w:val="0"/>
        <w:spacing w:after="0" w:line="240" w:lineRule="auto"/>
        <w:ind w:left="7200" w:firstLine="720"/>
        <w:rPr>
          <w:rFonts w:ascii="Segoe UI" w:hAnsi="Segoe UI" w:cs="Segoe UI"/>
          <w:b/>
        </w:rPr>
      </w:pPr>
      <w:r>
        <w:rPr>
          <w:rFonts w:ascii="Segoe UI" w:hAnsi="Segoe UI" w:cs="Segoe UI"/>
          <w:b/>
          <w:lang w:val="id-ID"/>
        </w:rPr>
        <w:t xml:space="preserve">Jakarta, </w:t>
      </w:r>
      <w:r>
        <w:rPr>
          <w:rFonts w:ascii="Segoe UI" w:hAnsi="Segoe UI" w:cs="Segoe UI"/>
          <w:b/>
        </w:rPr>
        <w:t>01 April 2016</w:t>
      </w:r>
    </w:p>
    <w:p w:rsidR="00EF7750" w:rsidRDefault="00EF7750" w:rsidP="00EF7750">
      <w:pPr>
        <w:autoSpaceDE w:val="0"/>
        <w:autoSpaceDN w:val="0"/>
        <w:adjustRightInd w:val="0"/>
        <w:spacing w:after="0" w:line="240" w:lineRule="auto"/>
        <w:ind w:left="1440" w:firstLine="720"/>
        <w:rPr>
          <w:rFonts w:ascii="Segoe UI" w:hAnsi="Segoe UI" w:cs="Segoe UI"/>
          <w:b/>
          <w:lang w:val="id-ID"/>
        </w:rPr>
      </w:pPr>
      <w:r>
        <w:rPr>
          <w:rFonts w:ascii="Segoe UI" w:hAnsi="Segoe UI" w:cs="Segoe UI"/>
          <w:b/>
          <w:lang w:val="id-ID"/>
        </w:rPr>
        <w:t>Mengetahui,</w:t>
      </w:r>
      <w:r w:rsidRPr="00B006E9">
        <w:rPr>
          <w:rFonts w:ascii="Segoe UI" w:hAnsi="Segoe UI" w:cs="Segoe UI"/>
          <w:b/>
          <w:lang w:val="id-ID"/>
        </w:rPr>
        <w:t xml:space="preserve"> </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p>
    <w:p w:rsidR="00EF7750" w:rsidRDefault="00EF7750" w:rsidP="00EF7750">
      <w:pPr>
        <w:autoSpaceDE w:val="0"/>
        <w:autoSpaceDN w:val="0"/>
        <w:adjustRightInd w:val="0"/>
        <w:spacing w:after="0" w:line="240" w:lineRule="auto"/>
        <w:ind w:left="1440" w:firstLine="720"/>
        <w:rPr>
          <w:rFonts w:ascii="Segoe UI" w:hAnsi="Segoe UI" w:cs="Segoe UI"/>
          <w:b/>
          <w:lang w:val="id-ID"/>
        </w:rPr>
      </w:pPr>
      <w:r>
        <w:rPr>
          <w:rFonts w:ascii="Segoe UI" w:hAnsi="Segoe UI" w:cs="Segoe UI"/>
          <w:b/>
          <w:lang w:val="id-ID"/>
        </w:rPr>
        <w:t>Ketua Program Studi,</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t>Dosen Pengampu,</w:t>
      </w:r>
    </w:p>
    <w:p w:rsidR="00EF7750" w:rsidRDefault="00EF7750" w:rsidP="00EF7750">
      <w:pPr>
        <w:autoSpaceDE w:val="0"/>
        <w:autoSpaceDN w:val="0"/>
        <w:adjustRightInd w:val="0"/>
        <w:spacing w:after="0" w:line="240" w:lineRule="auto"/>
        <w:rPr>
          <w:rFonts w:ascii="Segoe UI" w:hAnsi="Segoe UI" w:cs="Segoe UI"/>
          <w:b/>
          <w:lang w:val="id-ID"/>
        </w:rPr>
      </w:pPr>
      <w:r>
        <w:rPr>
          <w:rFonts w:ascii="Segoe UI" w:hAnsi="Segoe UI" w:cs="Segoe UI"/>
          <w:b/>
          <w:noProof/>
        </w:rPr>
        <w:drawing>
          <wp:anchor distT="0" distB="0" distL="114300" distR="114300" simplePos="0" relativeHeight="251659264" behindDoc="1" locked="0" layoutInCell="1" allowOverlap="1">
            <wp:simplePos x="0" y="0"/>
            <wp:positionH relativeFrom="column">
              <wp:posOffset>1337310</wp:posOffset>
            </wp:positionH>
            <wp:positionV relativeFrom="paragraph">
              <wp:posOffset>29845</wp:posOffset>
            </wp:positionV>
            <wp:extent cx="1513205" cy="1054100"/>
            <wp:effectExtent l="0" t="0" r="0" b="0"/>
            <wp:wrapTight wrapText="bothSides">
              <wp:wrapPolygon edited="0">
                <wp:start x="0" y="0"/>
                <wp:lineTo x="0" y="21080"/>
                <wp:lineTo x="21210" y="21080"/>
                <wp:lineTo x="2121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50" w:rsidRDefault="00EF7750" w:rsidP="00EF7750">
      <w:pPr>
        <w:autoSpaceDE w:val="0"/>
        <w:autoSpaceDN w:val="0"/>
        <w:adjustRightInd w:val="0"/>
        <w:spacing w:after="0" w:line="240" w:lineRule="auto"/>
        <w:rPr>
          <w:rFonts w:ascii="Segoe UI" w:hAnsi="Segoe UI" w:cs="Segoe UI"/>
          <w:b/>
        </w:rPr>
      </w:pPr>
      <w:r>
        <w:rPr>
          <w:noProof/>
        </w:rPr>
        <w:drawing>
          <wp:anchor distT="0" distB="0" distL="114300" distR="114300" simplePos="0" relativeHeight="251660288" behindDoc="1" locked="0" layoutInCell="1" allowOverlap="1">
            <wp:simplePos x="0" y="0"/>
            <wp:positionH relativeFrom="column">
              <wp:posOffset>5058410</wp:posOffset>
            </wp:positionH>
            <wp:positionV relativeFrom="paragraph">
              <wp:posOffset>0</wp:posOffset>
            </wp:positionV>
            <wp:extent cx="1236345" cy="810260"/>
            <wp:effectExtent l="0" t="0" r="1905" b="8890"/>
            <wp:wrapTight wrapText="bothSides">
              <wp:wrapPolygon edited="0">
                <wp:start x="0" y="0"/>
                <wp:lineTo x="0" y="21329"/>
                <wp:lineTo x="21300" y="21329"/>
                <wp:lineTo x="2130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4094" t="77750" r="31406" b="10750"/>
                    <a:stretch>
                      <a:fillRect/>
                    </a:stretch>
                  </pic:blipFill>
                  <pic:spPr bwMode="auto">
                    <a:xfrm>
                      <a:off x="0" y="0"/>
                      <a:ext cx="123634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t xml:space="preserve">   </w:t>
      </w:r>
    </w:p>
    <w:p w:rsidR="00EF7750" w:rsidRDefault="00EF7750" w:rsidP="00EF7750">
      <w:pPr>
        <w:autoSpaceDE w:val="0"/>
        <w:autoSpaceDN w:val="0"/>
        <w:adjustRightInd w:val="0"/>
        <w:spacing w:after="0" w:line="240" w:lineRule="auto"/>
        <w:rPr>
          <w:rFonts w:ascii="Segoe UI" w:hAnsi="Segoe UI" w:cs="Segoe UI"/>
          <w:b/>
        </w:rPr>
      </w:pPr>
    </w:p>
    <w:p w:rsidR="00EF7750" w:rsidRDefault="00EF7750" w:rsidP="00EF7750">
      <w:pPr>
        <w:autoSpaceDE w:val="0"/>
        <w:autoSpaceDN w:val="0"/>
        <w:adjustRightInd w:val="0"/>
        <w:spacing w:after="0" w:line="240" w:lineRule="auto"/>
        <w:rPr>
          <w:rFonts w:ascii="Segoe UI" w:hAnsi="Segoe UI" w:cs="Segoe UI"/>
          <w:b/>
        </w:rPr>
      </w:pPr>
    </w:p>
    <w:p w:rsidR="00EF7750" w:rsidRDefault="00EF7750" w:rsidP="00EF7750">
      <w:pPr>
        <w:autoSpaceDE w:val="0"/>
        <w:autoSpaceDN w:val="0"/>
        <w:adjustRightInd w:val="0"/>
        <w:spacing w:after="0" w:line="240" w:lineRule="auto"/>
        <w:rPr>
          <w:rFonts w:ascii="Segoe UI" w:hAnsi="Segoe UI" w:cs="Segoe UI"/>
          <w:b/>
        </w:rPr>
      </w:pPr>
    </w:p>
    <w:p w:rsidR="00EF7750" w:rsidRDefault="00EF7750" w:rsidP="00EF7750">
      <w:pPr>
        <w:autoSpaceDE w:val="0"/>
        <w:autoSpaceDN w:val="0"/>
        <w:adjustRightInd w:val="0"/>
        <w:spacing w:after="0" w:line="240" w:lineRule="auto"/>
        <w:rPr>
          <w:rFonts w:ascii="Segoe UI" w:hAnsi="Segoe UI" w:cs="Segoe UI"/>
          <w:b/>
        </w:rPr>
      </w:pPr>
    </w:p>
    <w:p w:rsidR="00EF7750" w:rsidRDefault="00EF7750" w:rsidP="00EF7750">
      <w:pPr>
        <w:autoSpaceDE w:val="0"/>
        <w:autoSpaceDN w:val="0"/>
        <w:adjustRightInd w:val="0"/>
        <w:spacing w:after="0" w:line="240" w:lineRule="auto"/>
        <w:rPr>
          <w:rFonts w:ascii="Segoe UI" w:hAnsi="Segoe UI" w:cs="Segoe UI"/>
          <w:b/>
        </w:rPr>
      </w:pPr>
      <w:r>
        <w:rPr>
          <w:rFonts w:ascii="Segoe UI" w:hAnsi="Segoe UI" w:cs="Segoe UI"/>
          <w:b/>
        </w:rPr>
        <w:t xml:space="preserve">                                  Dr. Sudarwan, Ak. M.Acc, CIA, QIA</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rPr>
        <w:t xml:space="preserve">          Dr. Sapto JKumono, ME.  </w:t>
      </w:r>
      <w:r>
        <w:rPr>
          <w:rFonts w:ascii="Segoe UI" w:hAnsi="Segoe UI" w:cs="Segoe UI"/>
          <w:b/>
          <w:lang w:val="id-ID"/>
        </w:rPr>
        <w:tab/>
      </w:r>
    </w:p>
    <w:p w:rsidR="00270F61" w:rsidRPr="00EF7750" w:rsidRDefault="00270F61" w:rsidP="00EF7750"/>
    <w:sectPr w:rsidR="00270F61" w:rsidRPr="00EF7750" w:rsidSect="00E77E35">
      <w:pgSz w:w="16834" w:h="11909" w:orient="landscape" w:code="9"/>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54B8"/>
    <w:multiLevelType w:val="hybridMultilevel"/>
    <w:tmpl w:val="30164A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114CD"/>
    <w:multiLevelType w:val="hybridMultilevel"/>
    <w:tmpl w:val="608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35"/>
    <w:rsid w:val="00002790"/>
    <w:rsid w:val="00270F61"/>
    <w:rsid w:val="004D465B"/>
    <w:rsid w:val="00784743"/>
    <w:rsid w:val="009611AF"/>
    <w:rsid w:val="00AE02DA"/>
    <w:rsid w:val="00AE628D"/>
    <w:rsid w:val="00D31C51"/>
    <w:rsid w:val="00E77E35"/>
    <w:rsid w:val="00E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 w:type="paragraph" w:styleId="ListParagraph">
    <w:name w:val="List Paragraph"/>
    <w:basedOn w:val="Normal"/>
    <w:uiPriority w:val="34"/>
    <w:qFormat/>
    <w:rsid w:val="004D465B"/>
    <w:pPr>
      <w:ind w:left="720"/>
      <w:contextualSpacing/>
    </w:pPr>
  </w:style>
  <w:style w:type="paragraph" w:styleId="BodyTextIndent">
    <w:name w:val="Body Text Indent"/>
    <w:basedOn w:val="Normal"/>
    <w:link w:val="BodyTextIndentChar"/>
    <w:rsid w:val="004D465B"/>
    <w:pPr>
      <w:spacing w:after="0" w:line="240" w:lineRule="auto"/>
      <w:ind w:left="720"/>
      <w:jc w:val="both"/>
    </w:pPr>
    <w:rPr>
      <w:rFonts w:ascii="Tahoma" w:eastAsia="Times New Roman" w:hAnsi="Tahoma"/>
      <w:szCs w:val="20"/>
      <w:lang w:val="x-none" w:eastAsia="x-none"/>
    </w:rPr>
  </w:style>
  <w:style w:type="character" w:customStyle="1" w:styleId="BodyTextIndentChar">
    <w:name w:val="Body Text Indent Char"/>
    <w:basedOn w:val="DefaultParagraphFont"/>
    <w:link w:val="BodyTextIndent"/>
    <w:rsid w:val="004D465B"/>
    <w:rPr>
      <w:rFonts w:ascii="Tahoma" w:eastAsia="Times New Roman" w:hAnsi="Tahoma" w:cs="Times New Roman"/>
      <w:szCs w:val="20"/>
      <w:lang w:val="x-none" w:eastAsia="x-none"/>
    </w:rPr>
  </w:style>
  <w:style w:type="paragraph" w:styleId="NoSpacing">
    <w:name w:val="No Spacing"/>
    <w:uiPriority w:val="1"/>
    <w:qFormat/>
    <w:rsid w:val="004D465B"/>
    <w:pPr>
      <w:spacing w:after="0" w:line="240" w:lineRule="auto"/>
      <w:jc w:val="both"/>
    </w:pPr>
    <w:rPr>
      <w:rFonts w:ascii="Calibri" w:eastAsia="Calibri" w:hAnsi="Calibri" w:cs="Times New Roman"/>
      <w:lang w:val="id-ID"/>
    </w:rPr>
  </w:style>
  <w:style w:type="character" w:customStyle="1" w:styleId="hps">
    <w:name w:val="hps"/>
    <w:basedOn w:val="DefaultParagraphFont"/>
    <w:rsid w:val="00002790"/>
  </w:style>
  <w:style w:type="character" w:customStyle="1" w:styleId="atn">
    <w:name w:val="atn"/>
    <w:basedOn w:val="DefaultParagraphFont"/>
    <w:rsid w:val="00002790"/>
  </w:style>
  <w:style w:type="table" w:styleId="TableGrid">
    <w:name w:val="Table Grid"/>
    <w:basedOn w:val="TableNormal"/>
    <w:rsid w:val="000027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002790"/>
  </w:style>
  <w:style w:type="character" w:customStyle="1" w:styleId="st">
    <w:name w:val="st"/>
    <w:basedOn w:val="DefaultParagraphFont"/>
    <w:rsid w:val="00002790"/>
  </w:style>
  <w:style w:type="character" w:styleId="Emphasis">
    <w:name w:val="Emphasis"/>
    <w:uiPriority w:val="20"/>
    <w:qFormat/>
    <w:rsid w:val="00002790"/>
    <w:rPr>
      <w:i/>
      <w:iCs/>
    </w:rPr>
  </w:style>
  <w:style w:type="character" w:customStyle="1" w:styleId="notranslate">
    <w:name w:val="notranslate"/>
    <w:basedOn w:val="DefaultParagraphFont"/>
    <w:rsid w:val="00002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E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7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35"/>
    <w:rPr>
      <w:rFonts w:ascii="Tahoma" w:eastAsia="Calibri" w:hAnsi="Tahoma" w:cs="Tahoma"/>
      <w:sz w:val="16"/>
      <w:szCs w:val="16"/>
    </w:rPr>
  </w:style>
  <w:style w:type="paragraph" w:styleId="Header">
    <w:name w:val="header"/>
    <w:basedOn w:val="Normal"/>
    <w:link w:val="HeaderChar"/>
    <w:rsid w:val="007847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784743"/>
    <w:rPr>
      <w:rFonts w:ascii="Times New Roman" w:eastAsia="Times New Roman" w:hAnsi="Times New Roman" w:cs="Times New Roman"/>
      <w:sz w:val="24"/>
      <w:szCs w:val="24"/>
    </w:rPr>
  </w:style>
  <w:style w:type="paragraph" w:styleId="ListParagraph">
    <w:name w:val="List Paragraph"/>
    <w:basedOn w:val="Normal"/>
    <w:uiPriority w:val="34"/>
    <w:qFormat/>
    <w:rsid w:val="004D465B"/>
    <w:pPr>
      <w:ind w:left="720"/>
      <w:contextualSpacing/>
    </w:pPr>
  </w:style>
  <w:style w:type="paragraph" w:styleId="BodyTextIndent">
    <w:name w:val="Body Text Indent"/>
    <w:basedOn w:val="Normal"/>
    <w:link w:val="BodyTextIndentChar"/>
    <w:rsid w:val="004D465B"/>
    <w:pPr>
      <w:spacing w:after="0" w:line="240" w:lineRule="auto"/>
      <w:ind w:left="720"/>
      <w:jc w:val="both"/>
    </w:pPr>
    <w:rPr>
      <w:rFonts w:ascii="Tahoma" w:eastAsia="Times New Roman" w:hAnsi="Tahoma"/>
      <w:szCs w:val="20"/>
      <w:lang w:val="x-none" w:eastAsia="x-none"/>
    </w:rPr>
  </w:style>
  <w:style w:type="character" w:customStyle="1" w:styleId="BodyTextIndentChar">
    <w:name w:val="Body Text Indent Char"/>
    <w:basedOn w:val="DefaultParagraphFont"/>
    <w:link w:val="BodyTextIndent"/>
    <w:rsid w:val="004D465B"/>
    <w:rPr>
      <w:rFonts w:ascii="Tahoma" w:eastAsia="Times New Roman" w:hAnsi="Tahoma" w:cs="Times New Roman"/>
      <w:szCs w:val="20"/>
      <w:lang w:val="x-none" w:eastAsia="x-none"/>
    </w:rPr>
  </w:style>
  <w:style w:type="paragraph" w:styleId="NoSpacing">
    <w:name w:val="No Spacing"/>
    <w:uiPriority w:val="1"/>
    <w:qFormat/>
    <w:rsid w:val="004D465B"/>
    <w:pPr>
      <w:spacing w:after="0" w:line="240" w:lineRule="auto"/>
      <w:jc w:val="both"/>
    </w:pPr>
    <w:rPr>
      <w:rFonts w:ascii="Calibri" w:eastAsia="Calibri" w:hAnsi="Calibri" w:cs="Times New Roman"/>
      <w:lang w:val="id-ID"/>
    </w:rPr>
  </w:style>
  <w:style w:type="character" w:customStyle="1" w:styleId="hps">
    <w:name w:val="hps"/>
    <w:basedOn w:val="DefaultParagraphFont"/>
    <w:rsid w:val="00002790"/>
  </w:style>
  <w:style w:type="character" w:customStyle="1" w:styleId="atn">
    <w:name w:val="atn"/>
    <w:basedOn w:val="DefaultParagraphFont"/>
    <w:rsid w:val="00002790"/>
  </w:style>
  <w:style w:type="table" w:styleId="TableGrid">
    <w:name w:val="Table Grid"/>
    <w:basedOn w:val="TableNormal"/>
    <w:rsid w:val="000027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002790"/>
  </w:style>
  <w:style w:type="character" w:customStyle="1" w:styleId="st">
    <w:name w:val="st"/>
    <w:basedOn w:val="DefaultParagraphFont"/>
    <w:rsid w:val="00002790"/>
  </w:style>
  <w:style w:type="character" w:styleId="Emphasis">
    <w:name w:val="Emphasis"/>
    <w:uiPriority w:val="20"/>
    <w:qFormat/>
    <w:rsid w:val="00002790"/>
    <w:rPr>
      <w:i/>
      <w:iCs/>
    </w:rPr>
  </w:style>
  <w:style w:type="character" w:customStyle="1" w:styleId="notranslate">
    <w:name w:val="notranslate"/>
    <w:basedOn w:val="DefaultParagraphFont"/>
    <w:rsid w:val="0000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2018-02-02T07:22:00Z</dcterms:created>
  <dcterms:modified xsi:type="dcterms:W3CDTF">2018-02-02T07:44:00Z</dcterms:modified>
</cp:coreProperties>
</file>