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8" w:rsidRDefault="00671C48" w:rsidP="00671C48">
      <w:pPr>
        <w:pStyle w:val="Default"/>
        <w:rPr>
          <w:b/>
        </w:rPr>
      </w:pPr>
    </w:p>
    <w:tbl>
      <w:tblPr>
        <w:tblW w:w="1404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441"/>
        <w:gridCol w:w="236"/>
        <w:gridCol w:w="1924"/>
        <w:gridCol w:w="2160"/>
        <w:gridCol w:w="79"/>
        <w:gridCol w:w="4241"/>
        <w:gridCol w:w="641"/>
        <w:gridCol w:w="283"/>
        <w:gridCol w:w="696"/>
      </w:tblGrid>
      <w:tr w:rsidR="00671C48" w:rsidRPr="00B006E9" w:rsidTr="00671C48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B006E9" w:rsidRDefault="00671C48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EE511" wp14:editId="08B69D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C48" w:rsidRDefault="00671C48" w:rsidP="00671C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D994CC" wp14:editId="392E4920">
                                        <wp:extent cx="552450" cy="552450"/>
                                        <wp:effectExtent l="0" t="0" r="0" b="0"/>
                                        <wp:docPr id="46" name="Picture 46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">
                      <v:textbox>
                        <w:txbxContent>
                          <w:p w:rsidR="00671C48" w:rsidRDefault="00671C48" w:rsidP="00671C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994CC" wp14:editId="392E4920">
                                  <wp:extent cx="552450" cy="552450"/>
                                  <wp:effectExtent l="0" t="0" r="0" b="0"/>
                                  <wp:docPr id="46" name="Picture 46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0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6D6169" w:rsidRDefault="00671C48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671C48" w:rsidRPr="000A7333" w:rsidTr="00671C48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0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ENAP 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2016/2017</w:t>
            </w:r>
          </w:p>
        </w:tc>
      </w:tr>
      <w:tr w:rsidR="00671C48" w:rsidRPr="000A7333" w:rsidTr="00671C48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0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671C48" w:rsidRPr="000A7333" w:rsidTr="00671C48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270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671C48" w:rsidRPr="004A5C69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671C48" w:rsidRPr="00B006E9" w:rsidTr="00671C48">
        <w:tc>
          <w:tcPr>
            <w:tcW w:w="1404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671C48" w:rsidRPr="006D6169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671C48" w:rsidRPr="000A7333" w:rsidTr="00671C48">
        <w:tc>
          <w:tcPr>
            <w:tcW w:w="3780" w:type="dxa"/>
            <w:gridSpan w:val="3"/>
            <w:tcBorders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1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71C48" w:rsidRPr="005C1D32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5C1D32">
              <w:rPr>
                <w:rFonts w:ascii="Times New Roman" w:hAnsi="Times New Roman"/>
                <w:b/>
              </w:rPr>
              <w:t>STRUKTUR &amp; PROSES GOVERNANCE</w:t>
            </w:r>
          </w:p>
        </w:tc>
        <w:tc>
          <w:tcPr>
            <w:tcW w:w="48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696" w:type="dxa"/>
            <w:tcBorders>
              <w:lef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>
              <w:rPr>
                <w:rFonts w:ascii="Cambria" w:hAnsi="Cambria" w:cs="Calibri"/>
                <w:b/>
              </w:rPr>
              <w:t>208</w:t>
            </w:r>
          </w:p>
        </w:tc>
      </w:tr>
      <w:tr w:rsidR="00671C48" w:rsidRPr="000A7333" w:rsidTr="00671C48">
        <w:tc>
          <w:tcPr>
            <w:tcW w:w="3780" w:type="dxa"/>
            <w:gridSpan w:val="3"/>
            <w:tcBorders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416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488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69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  <w:r w:rsidRPr="00800C80">
              <w:rPr>
                <w:rFonts w:ascii="Cambria" w:hAnsi="Cambria" w:cs="Calibri"/>
                <w:b/>
              </w:rPr>
              <w:t xml:space="preserve"> SKS</w:t>
            </w:r>
          </w:p>
        </w:tc>
      </w:tr>
      <w:tr w:rsidR="00671C48" w:rsidRPr="000A7333" w:rsidTr="00671C48">
        <w:tc>
          <w:tcPr>
            <w:tcW w:w="3780" w:type="dxa"/>
            <w:gridSpan w:val="3"/>
            <w:tcBorders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16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 xml:space="preserve">Dr. </w:t>
            </w:r>
            <w:r>
              <w:rPr>
                <w:rFonts w:ascii="Cambria" w:hAnsi="Cambria" w:cs="Calibri"/>
                <w:b/>
              </w:rPr>
              <w:t xml:space="preserve">YANUAR RAMADHAN, MM, </w:t>
            </w:r>
            <w:proofErr w:type="spellStart"/>
            <w:r>
              <w:rPr>
                <w:rFonts w:ascii="Cambria" w:hAnsi="Cambria" w:cs="Calibri"/>
                <w:b/>
              </w:rPr>
              <w:t>Akt</w:t>
            </w:r>
            <w:proofErr w:type="spellEnd"/>
            <w:r>
              <w:rPr>
                <w:rFonts w:ascii="Cambria" w:hAnsi="Cambria" w:cs="Calibri"/>
                <w:b/>
              </w:rPr>
              <w:t>., CA</w:t>
            </w:r>
          </w:p>
        </w:tc>
        <w:tc>
          <w:tcPr>
            <w:tcW w:w="488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69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5731</w:t>
            </w:r>
          </w:p>
        </w:tc>
      </w:tr>
      <w:tr w:rsidR="00671C48" w:rsidRPr="000A7333" w:rsidTr="00671C48">
        <w:tc>
          <w:tcPr>
            <w:tcW w:w="3780" w:type="dxa"/>
            <w:gridSpan w:val="3"/>
            <w:tcBorders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671C48" w:rsidRPr="000A7333" w:rsidTr="00671C48">
        <w:trPr>
          <w:trHeight w:val="618"/>
        </w:trPr>
        <w:tc>
          <w:tcPr>
            <w:tcW w:w="378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71C48" w:rsidRPr="00800C80" w:rsidRDefault="00671C48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002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0"/>
                <w:numId w:val="3"/>
              </w:numPr>
              <w:spacing w:after="0" w:line="240" w:lineRule="auto"/>
              <w:ind w:left="196" w:hanging="270"/>
              <w:jc w:val="both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menjalankan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penerapan</w:t>
            </w:r>
            <w:proofErr w:type="spellEnd"/>
            <w:r w:rsidRPr="002E50DD">
              <w:rPr>
                <w:rFonts w:ascii="Cambria" w:hAnsi="Cambria"/>
              </w:rPr>
              <w:t xml:space="preserve"> GCG di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dikaitkan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dengan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regulasi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>.</w:t>
            </w:r>
          </w:p>
          <w:p w:rsidR="00671C48" w:rsidRPr="002E50DD" w:rsidRDefault="00671C48" w:rsidP="00671C48">
            <w:pPr>
              <w:numPr>
                <w:ilvl w:val="0"/>
                <w:numId w:val="3"/>
              </w:numPr>
              <w:spacing w:after="0" w:line="240" w:lineRule="auto"/>
              <w:ind w:left="196" w:hanging="270"/>
              <w:jc w:val="both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budaya</w:t>
            </w:r>
            <w:proofErr w:type="spellEnd"/>
            <w:r w:rsidRPr="002E50DD">
              <w:rPr>
                <w:rFonts w:ascii="Cambria" w:hAnsi="Cambria"/>
              </w:rPr>
              <w:t xml:space="preserve"> yang </w:t>
            </w:r>
            <w:proofErr w:type="spellStart"/>
            <w:r w:rsidRPr="002E50DD">
              <w:rPr>
                <w:rFonts w:ascii="Cambria" w:hAnsi="Cambria"/>
              </w:rPr>
              <w:t>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diperusahaan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sehingga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menciptakan</w:t>
            </w:r>
            <w:proofErr w:type="spellEnd"/>
            <w:r w:rsidRPr="002E50DD">
              <w:rPr>
                <w:rFonts w:ascii="Cambria" w:hAnsi="Cambria"/>
              </w:rPr>
              <w:t xml:space="preserve"> GCG yang </w:t>
            </w:r>
            <w:proofErr w:type="spellStart"/>
            <w:r w:rsidRPr="002E50DD">
              <w:rPr>
                <w:rFonts w:ascii="Cambria" w:hAnsi="Cambria"/>
              </w:rPr>
              <w:t>cocok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bagi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671C48" w:rsidRPr="003A06CC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r w:rsidRPr="002E50DD">
              <w:rPr>
                <w:rFonts w:ascii="Cambria" w:hAnsi="Cambria"/>
                <w:lang w:val="sv-SE"/>
              </w:rPr>
              <w:t>Memahami sejarah perkembangan GCG sebagai suatu sistem dalam memperbaiki kualitas hidup perusahaan.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2E50DD">
              <w:rPr>
                <w:rFonts w:ascii="Cambria" w:hAnsi="Cambria"/>
                <w:color w:val="000000"/>
              </w:rPr>
              <w:t>Ovewrview</w:t>
            </w:r>
            <w:proofErr w:type="spellEnd"/>
            <w:r w:rsidRPr="002E50D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color w:val="000000"/>
              </w:rPr>
              <w:t>dan</w:t>
            </w:r>
            <w:proofErr w:type="spellEnd"/>
            <w:r w:rsidRPr="002E50D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color w:val="000000"/>
              </w:rPr>
              <w:t>Silabus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aktif berdiskusi dan semua anggota </w:t>
            </w:r>
            <w:bookmarkStart w:id="0" w:name="_GoBack"/>
            <w:bookmarkEnd w:id="0"/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kelompok memberikan pendapat.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hari ini.</w:t>
            </w:r>
          </w:p>
          <w:p w:rsidR="00671C48" w:rsidRPr="00DF5783" w:rsidRDefault="00671C48" w:rsidP="005A4645">
            <w:pPr>
              <w:pStyle w:val="Head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lastRenderedPageBreak/>
              <w:t>2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Peran</w:t>
            </w:r>
            <w:proofErr w:type="spellEnd"/>
            <w:r w:rsidRPr="002E50DD">
              <w:rPr>
                <w:rFonts w:ascii="Cambria" w:hAnsi="Cambria"/>
              </w:rPr>
              <w:t xml:space="preserve"> Good Corporate Governance </w:t>
            </w:r>
            <w:proofErr w:type="spellStart"/>
            <w:r w:rsidRPr="002E50DD">
              <w:rPr>
                <w:rFonts w:ascii="Cambria" w:hAnsi="Cambria"/>
              </w:rPr>
              <w:t>dalam</w:t>
            </w:r>
            <w:proofErr w:type="spellEnd"/>
            <w:r w:rsidRPr="002E50DD">
              <w:rPr>
                <w:rFonts w:ascii="Cambria" w:hAnsi="Cambria"/>
              </w:rPr>
              <w:t xml:space="preserve"> Perusahaan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The Corporation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dari dosen.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r w:rsidRPr="002E50DD">
              <w:rPr>
                <w:rFonts w:ascii="Cambria" w:hAnsi="Cambria"/>
                <w:lang w:val="sv-SE"/>
              </w:rPr>
              <w:t>Memahami dan mampu menelaah lima prinsip GCG dalam perusahaan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What is Corporation?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mampu menyelesaikan dan menganalisis tentang strategi sumber daya manusia dan mengembangkan sistem evaluasi kinerja.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GCG </w:t>
            </w:r>
            <w:proofErr w:type="spellStart"/>
            <w:r w:rsidRPr="002E50DD">
              <w:rPr>
                <w:rFonts w:ascii="Cambria" w:hAnsi="Cambria"/>
              </w:rPr>
              <w:t>dikaitkan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dengan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konsep</w:t>
            </w:r>
            <w:proofErr w:type="spellEnd"/>
            <w:r w:rsidRPr="002E50DD">
              <w:rPr>
                <w:rFonts w:ascii="Cambria" w:hAnsi="Cambria"/>
              </w:rPr>
              <w:t xml:space="preserve"> 5W + 1H </w:t>
            </w:r>
            <w:proofErr w:type="spellStart"/>
            <w:r w:rsidRPr="002E50DD">
              <w:rPr>
                <w:rFonts w:ascii="Cambria" w:hAnsi="Cambria"/>
              </w:rPr>
              <w:t>sehingga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dapat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memetakan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pemahaman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mendalam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atas</w:t>
            </w:r>
            <w:proofErr w:type="spellEnd"/>
            <w:r w:rsidRPr="002E50DD">
              <w:rPr>
                <w:rFonts w:ascii="Cambria" w:hAnsi="Cambria"/>
              </w:rPr>
              <w:t xml:space="preserve"> Good Corporate Governance.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Shareholder, Director , and Management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</w:t>
            </w: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mampu menjelaskan berbagai hambatan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dibidang hukum, politik, norma sosial dam hambatan pribadi, mengidentifikasi cara cara mengurangi bias penilaian.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lastRenderedPageBreak/>
              <w:t>5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Keterkaitan</w:t>
            </w:r>
            <w:proofErr w:type="spellEnd"/>
            <w:r w:rsidRPr="002E50DD">
              <w:rPr>
                <w:rFonts w:ascii="Cambria" w:hAnsi="Cambria"/>
              </w:rPr>
              <w:t xml:space="preserve"> GCG </w:t>
            </w:r>
            <w:proofErr w:type="spellStart"/>
            <w:r w:rsidRPr="002E50DD">
              <w:rPr>
                <w:rFonts w:ascii="Cambria" w:hAnsi="Cambria"/>
              </w:rPr>
              <w:t>dikaitkan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Etika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Bisnis</w:t>
            </w:r>
            <w:proofErr w:type="spellEnd"/>
            <w:r w:rsidRPr="002E50DD">
              <w:rPr>
                <w:rFonts w:ascii="Cambria" w:hAnsi="Cambria"/>
              </w:rPr>
              <w:t xml:space="preserve">, </w:t>
            </w:r>
            <w:proofErr w:type="spellStart"/>
            <w:r w:rsidRPr="002E50DD">
              <w:rPr>
                <w:rFonts w:ascii="Cambria" w:hAnsi="Cambria"/>
              </w:rPr>
              <w:t>Pedoman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Perilaku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Manajemen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Resiko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Perspective in GCG 1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yang dibahas hari ini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6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Memahami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lastRenderedPageBreak/>
              <w:t>menjelaskan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dengan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tepat</w:t>
            </w:r>
            <w:proofErr w:type="spellEnd"/>
            <w:r w:rsidRPr="002E50DD">
              <w:rPr>
                <w:rFonts w:ascii="Cambria" w:hAnsi="Cambria"/>
              </w:rPr>
              <w:t xml:space="preserve"> organ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pemangku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kepentingan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dalam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penerapan</w:t>
            </w:r>
            <w:proofErr w:type="spellEnd"/>
            <w:r w:rsidRPr="002E50DD">
              <w:rPr>
                <w:rFonts w:ascii="Cambria" w:hAnsi="Cambria"/>
              </w:rPr>
              <w:t xml:space="preserve"> GCG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lastRenderedPageBreak/>
              <w:t>Perspective in GCG 2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lastRenderedPageBreak/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George S. Dallas, Governance and Risk: An </w:t>
            </w: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aktif  mengikuti kuliah umum dari dosen tamu.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didiskusikan dan membuat laporan dari hasil materi yang disampaikan Dosen Tamu.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7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r w:rsidRPr="002E50DD">
              <w:rPr>
                <w:rFonts w:ascii="Cambria" w:hAnsi="Cambria"/>
                <w:lang w:val="sv-SE"/>
              </w:rPr>
              <w:t>Memahami mekanisme tahapan-tahapan penerapan GCG dakam proses etika dan insentif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Ethics and Incentives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didiskusikan.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8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2E50DD">
              <w:rPr>
                <w:rFonts w:ascii="Cambria" w:hAnsi="Cambria"/>
              </w:rPr>
              <w:t>Mampu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menelaah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kasus</w:t>
            </w:r>
            <w:proofErr w:type="spellEnd"/>
            <w:r w:rsidRPr="002E50DD">
              <w:rPr>
                <w:rFonts w:ascii="Cambria" w:hAnsi="Cambria"/>
              </w:rPr>
              <w:t xml:space="preserve"> GCG </w:t>
            </w:r>
            <w:proofErr w:type="spellStart"/>
            <w:r w:rsidRPr="002E50DD">
              <w:rPr>
                <w:rFonts w:ascii="Cambria" w:hAnsi="Cambria"/>
              </w:rPr>
              <w:t>pada</w:t>
            </w:r>
            <w:proofErr w:type="spellEnd"/>
            <w:r w:rsidRPr="002E50DD">
              <w:rPr>
                <w:rFonts w:ascii="Cambria" w:hAnsi="Cambria"/>
              </w:rPr>
              <w:t xml:space="preserve"> </w:t>
            </w:r>
            <w:proofErr w:type="spellStart"/>
            <w:r w:rsidRPr="002E50DD">
              <w:rPr>
                <w:rFonts w:ascii="Cambria" w:hAnsi="Cambria"/>
              </w:rPr>
              <w:t>perusahaan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Case 1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mampu menyelesaikan dan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menganalisis berbagai aspek kinerja dan proses evaluasi kinerja.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9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memahami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teknik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pengukuran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bidang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board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of director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Internal Governance : Board of Director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0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memahami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teknik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pengukuran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bidang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kompensasi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Internal Governance : Compensation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</w:t>
            </w: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Peserta didik aktif  mengikuti kuliah umum dari Dosen Tamu.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menguasai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materi kuliah yang didiskusikan dan membuat laporan dari hasil materi yang disampaikan Dosen Tamu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DF5783">
              <w:rPr>
                <w:rFonts w:ascii="Cambria" w:hAnsi="Cambria"/>
                <w:b/>
              </w:rPr>
              <w:t>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melakukan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evaluasi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r w:rsidRPr="00312744">
              <w:rPr>
                <w:rFonts w:ascii="Cambria" w:hAnsi="Cambria"/>
                <w:color w:val="000000"/>
              </w:rPr>
              <w:t>Incentives and Organizational Structure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Incentives and Organizational Structure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menjelaskan beberapa sistem evaluasi kinerja dilingkungan PNS, Bank Swasta dan Perum Pegadaian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2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melakukan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evaluasi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r w:rsidRPr="00813034">
              <w:rPr>
                <w:rFonts w:ascii="Cambria" w:hAnsi="Cambria"/>
                <w:color w:val="000000"/>
              </w:rPr>
              <w:t>External Governance : Ownership and Control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External Governance : Ownership and Control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</w:t>
            </w: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mampu menyelesaikan berbagai sistem evaluasi kinerja pada organisasi / perusahaan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Internasional seperti PBB, MNC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DF5783">
              <w:rPr>
                <w:rFonts w:ascii="Cambria" w:hAnsi="Cambria"/>
                <w:b/>
              </w:rPr>
              <w:t>3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melakukan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evaluasi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r w:rsidRPr="00813034">
              <w:rPr>
                <w:rFonts w:ascii="Cambria" w:hAnsi="Cambria"/>
                <w:color w:val="000000"/>
              </w:rPr>
              <w:t>External Governance : Markets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External Governance : Markets</w:t>
            </w:r>
          </w:p>
        </w:tc>
        <w:tc>
          <w:tcPr>
            <w:tcW w:w="2160" w:type="dxa"/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dibahas pada perkuliahan hari ini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671C48" w:rsidRPr="000A7333" w:rsidTr="0067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671C48" w:rsidRPr="00DF5783" w:rsidRDefault="00671C48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DF5783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 w:rsidRPr="002E50DD">
              <w:rPr>
                <w:rFonts w:ascii="Cambria" w:hAnsi="Cambria"/>
                <w:lang w:val="es-ES"/>
              </w:rPr>
              <w:t>Mampu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mengukur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dan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melakukan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evaluasi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dalam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penerapan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GCG pada </w:t>
            </w:r>
            <w:proofErr w:type="spellStart"/>
            <w:r w:rsidRPr="002E50DD">
              <w:rPr>
                <w:rFonts w:ascii="Cambria" w:hAnsi="Cambria"/>
                <w:lang w:val="es-ES"/>
              </w:rPr>
              <w:t>perusahaan</w:t>
            </w:r>
            <w:proofErr w:type="spellEnd"/>
            <w:r w:rsidRPr="002E50DD">
              <w:rPr>
                <w:rFonts w:ascii="Cambria" w:hAnsi="Cambria"/>
                <w:lang w:val="es-ES"/>
              </w:rPr>
              <w:t xml:space="preserve"> di </w:t>
            </w:r>
            <w:r w:rsidRPr="00813034">
              <w:rPr>
                <w:rFonts w:ascii="Cambria" w:hAnsi="Cambria"/>
                <w:color w:val="000000"/>
              </w:rPr>
              <w:t>External Governance : Financial Reporting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C48" w:rsidRPr="002E50DD" w:rsidRDefault="00671C48" w:rsidP="005A4645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E50DD">
              <w:rPr>
                <w:rFonts w:ascii="Cambria" w:hAnsi="Cambria"/>
                <w:color w:val="000000"/>
              </w:rPr>
              <w:t>External Governance : Financial Reporting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671C48" w:rsidRPr="00DF5783" w:rsidRDefault="00671C48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George S. Dallas, Governance and Risk: An Analytical Handbook for Investor, Managers, </w:t>
            </w:r>
            <w:proofErr w:type="gram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Directors &amp;</w:t>
            </w:r>
            <w:proofErr w:type="gram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Stakeholders, Standard &amp; Poor’s Governance Services, McGraw-Hill.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Paul U. Ali and Greg N.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Gregoriou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International Corporate Governance After Sarbanes-Oxley, John Wiley &amp; Sons,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Ic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., 2006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8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Kevin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Keasey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Steve Thompson, Mike Wright, Corporate Governance – Accountability, Enterprise and International Comparisons, John,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wiley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Sons, Ltd., 2005 </w:t>
            </w:r>
          </w:p>
          <w:p w:rsidR="00671C48" w:rsidRPr="002E50DD" w:rsidRDefault="00671C48" w:rsidP="00671C4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2" w:hanging="27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Komite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Nasional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Kebijakan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Governance, </w:t>
            </w:r>
            <w:proofErr w:type="spellStart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>Pedoman</w:t>
            </w:r>
            <w:proofErr w:type="spellEnd"/>
            <w:r w:rsidRPr="002E50D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Good Corporate Governance Indonesia 2006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C48" w:rsidRPr="00DF5783" w:rsidRDefault="00671C48" w:rsidP="00671C4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hasil penelitian dengan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</w:p>
        </w:tc>
      </w:tr>
    </w:tbl>
    <w:p w:rsidR="00671C48" w:rsidRDefault="00671C48" w:rsidP="00671C4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671C48" w:rsidRPr="00D97B17" w:rsidRDefault="00671C48" w:rsidP="00671C48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671C48" w:rsidRDefault="00671C48" w:rsidP="00671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      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MF.</w:t>
      </w:r>
      <w:proofErr w:type="gramEnd"/>
      <w:r>
        <w:rPr>
          <w:rFonts w:ascii="Segoe UI" w:hAnsi="Segoe UI" w:cs="Segoe UI"/>
          <w:b/>
        </w:rPr>
        <w:t xml:space="preserve"> ARROZI, SE, </w:t>
      </w:r>
      <w:proofErr w:type="spellStart"/>
      <w:proofErr w:type="gramStart"/>
      <w:r>
        <w:rPr>
          <w:rFonts w:ascii="Segoe UI" w:hAnsi="Segoe UI" w:cs="Segoe UI"/>
          <w:b/>
        </w:rPr>
        <w:t>M.Si</w:t>
      </w:r>
      <w:proofErr w:type="spellEnd"/>
      <w:r>
        <w:rPr>
          <w:rFonts w:ascii="Segoe UI" w:hAnsi="Segoe UI" w:cs="Segoe UI"/>
          <w:b/>
        </w:rPr>
        <w:t>.,</w:t>
      </w:r>
      <w:proofErr w:type="gramEnd"/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Akt</w:t>
      </w:r>
      <w:proofErr w:type="spellEnd"/>
      <w:r>
        <w:rPr>
          <w:rFonts w:ascii="Segoe UI" w:hAnsi="Segoe UI" w:cs="Segoe UI"/>
          <w:b/>
        </w:rPr>
        <w:t xml:space="preserve">., CA  </w:t>
      </w:r>
      <w:r>
        <w:rPr>
          <w:rFonts w:ascii="Segoe UI" w:hAnsi="Segoe UI" w:cs="Segoe UI"/>
          <w:b/>
          <w:lang w:val="id-ID"/>
        </w:rPr>
        <w:tab/>
      </w:r>
    </w:p>
    <w:p w:rsidR="00671C48" w:rsidRPr="003A44F3" w:rsidRDefault="00671C48" w:rsidP="00671C4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270F61" w:rsidRPr="00671C48" w:rsidRDefault="00270F61" w:rsidP="00671C48"/>
    <w:sectPr w:rsidR="00270F61" w:rsidRPr="00671C48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48B"/>
    <w:multiLevelType w:val="hybridMultilevel"/>
    <w:tmpl w:val="723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777FF"/>
    <w:multiLevelType w:val="hybridMultilevel"/>
    <w:tmpl w:val="7FD4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002790"/>
    <w:rsid w:val="00270F61"/>
    <w:rsid w:val="004D465B"/>
    <w:rsid w:val="00671C48"/>
    <w:rsid w:val="00784743"/>
    <w:rsid w:val="009611AF"/>
    <w:rsid w:val="00AE02DA"/>
    <w:rsid w:val="00AE628D"/>
    <w:rsid w:val="00E77E3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2018-02-02T07:24:00Z</dcterms:created>
  <dcterms:modified xsi:type="dcterms:W3CDTF">2018-02-02T07:24:00Z</dcterms:modified>
</cp:coreProperties>
</file>