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325" w:type="dxa"/>
        <w:tblInd w:w="-34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bottom w:val="nil"/>
            </w:tcBorders>
            <w:shd w:val="clear" w:color="auto" w:fill="CCFFFF"/>
            <w:vAlign w:val="top"/>
          </w:tcPr>
          <w:p>
            <w:pPr>
              <w:rPr>
                <w:rFonts w:ascii="Segoe UI" w:hAnsi="Segoe UI" w:cs="Segoe UI"/>
                <w:sz w:val="12"/>
                <w:szCs w:val="12"/>
              </w:rPr>
            </w:pPr>
            <w:r>
              <w:rPr>
                <w:rFonts w:ascii="Segoe UI" w:hAnsi="Segoe UI" w:cs="Segoe UI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735330" cy="643255"/>
                      <wp:effectExtent l="4445" t="5080" r="5080" b="10160"/>
                      <wp:wrapNone/>
                      <wp:docPr id="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lang w:val="id-ID" w:eastAsia="id-ID"/>
                                    </w:rPr>
                                  </w:pPr>
                                </w:p>
                                <w:p>
                                  <w:r>
                                    <w:rPr>
                                      <w:lang w:val="id-ID" w:eastAsia="id-ID"/>
                                    </w:rPr>
                                    <w:drawing>
                                      <wp:inline distT="0" distB="0" distL="114300" distR="114300">
                                        <wp:extent cx="542290" cy="542290"/>
                                        <wp:effectExtent l="0" t="0" r="8255" b="8255"/>
                                        <wp:docPr id="2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logo UEU kecil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wrap="non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6" o:spt="202" type="#_x0000_t202" style="position:absolute;left:0pt;margin-left:0.15pt;margin-top:3.75pt;height:50.65pt;width:57.9pt;mso-wrap-style:none;z-index:251658240;mso-width-relative:page;mso-height-relative:page;" fillcolor="#FFFFFF" filled="t" stroked="t" coordsize="21600,21600" o:gfxdata="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/dI7dcAAAAGAQAADwAAAAAAAAABACAAAAAiAAAAZHJzL2Rvd25yZXYueG1sUEsBAhQAFAAA&#10;AAgAh07iQNvu63jwAQAADQQAAA4AAAAAAAAAAQAgAAAAJgEAAGRycy9lMm9Eb2MueG1sUEsFBgAA&#10;AAAGAAYAWQEAAIg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lang w:val="id-ID" w:eastAsia="id-ID"/>
                              </w:rPr>
                            </w:pPr>
                          </w:p>
                          <w:p>
                            <w:r>
                              <w:rPr>
                                <w:lang w:val="id-ID" w:eastAsia="id-ID"/>
                              </w:rPr>
                              <w:drawing>
                                <wp:inline distT="0" distB="0" distL="114300" distR="114300">
                                  <wp:extent cx="542290" cy="542290"/>
                                  <wp:effectExtent l="0" t="0" r="8255" b="8255"/>
                                  <wp:docPr id="2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logo UEU kecil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  <w:vAlign w:val="top"/>
          </w:tcPr>
          <w:p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2017/2018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TEKNIK </w:t>
            </w:r>
            <w:r>
              <w:rPr>
                <w:rFonts w:ascii="Segoe UI" w:hAnsi="Segoe UI" w:cs="Segoe UI"/>
                <w:b/>
                <w:sz w:val="22"/>
                <w:szCs w:val="22"/>
                <w:lang w:val="en-US"/>
              </w:rPr>
              <w:t>PERENCANAAN WILAYAH DAN KOTA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5" w:type="dxa"/>
            <w:gridSpan w:val="7"/>
            <w:tcBorders>
              <w:top w:val="nil"/>
              <w:bottom w:val="dotted" w:color="auto" w:sz="4" w:space="0"/>
            </w:tcBorders>
            <w:shd w:val="clear" w:color="auto" w:fill="CCFFFF"/>
            <w:vAlign w:val="top"/>
          </w:tcPr>
          <w:p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Perencanaan Wilayah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TPL 314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3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Dr. Ir. Ken Martina Kasikoen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, MT</w:t>
            </w:r>
          </w:p>
        </w:tc>
        <w:tc>
          <w:tcPr>
            <w:tcW w:w="1559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en-US"/>
              </w:rPr>
            </w:pPr>
            <w:r>
              <w:rPr>
                <w:rFonts w:ascii="Segoe UI" w:hAnsi="Segoe UI" w:cs="Segoe UI"/>
                <w:sz w:val="22"/>
                <w:szCs w:val="22"/>
                <w:lang w:val="en-US"/>
              </w:rPr>
              <w:t>5223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color="auto" w:sz="4" w:space="0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Tatap muka 14 x 1</w:t>
            </w:r>
            <w:r>
              <w:rPr>
                <w:rFonts w:ascii="Segoe UI" w:hAnsi="Segoe UI" w:cs="Segoe UI"/>
                <w:sz w:val="22"/>
                <w:szCs w:val="22"/>
                <w:lang w:val="en-US"/>
              </w:rPr>
              <w:t>5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0 menit, tidak ada praktik dan tidak ada online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2"/>
            <w:tcBorders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40"/>
                <w:tab w:val="left" w:pos="480"/>
                <w:tab w:val="clear" w:pos="720"/>
              </w:tabs>
              <w:ind w:left="240" w:leftChars="0" w:hanging="240" w:firstLineChars="0"/>
              <w:jc w:val="both"/>
              <w:rPr>
                <w:rFonts w:hint="default"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id-ID"/>
              </w:rPr>
              <w:t xml:space="preserve">Peserta mata kuliah mampu </w:t>
            </w: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lang w:val="id-ID"/>
              </w:rPr>
              <w:t>emahami dasar mengenai wilayah</w:t>
            </w: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id-ID"/>
              </w:rPr>
              <w:t xml:space="preserve">Peserta mata kuliah mampu </w:t>
            </w: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en-US"/>
              </w:rPr>
              <w:t>mengetahui bagaimana sistem belajar di Perguruan Tinggi</w:t>
            </w:r>
            <w:r>
              <w:rPr>
                <w:rFonts w:hint="default"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tabs>
                <w:tab w:val="left" w:pos="240"/>
                <w:tab w:val="left" w:pos="480"/>
                <w:tab w:val="clear" w:pos="720"/>
              </w:tabs>
              <w:ind w:left="240" w:leftChars="0" w:hanging="240" w:firstLineChars="0"/>
              <w:jc w:val="both"/>
              <w:rPr>
                <w:rFonts w:hint="default"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id-ID"/>
              </w:rPr>
              <w:t xml:space="preserve">Peserta mata kuliah mampu </w:t>
            </w: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lang w:val="id-ID"/>
              </w:rPr>
              <w:t>elakukan penalaran terhadap isue-isue perencanaan wilayah</w:t>
            </w:r>
          </w:p>
          <w:p>
            <w:pPr>
              <w:numPr>
                <w:ilvl w:val="0"/>
                <w:numId w:val="1"/>
              </w:numPr>
              <w:tabs>
                <w:tab w:val="left" w:pos="240"/>
                <w:tab w:val="left" w:pos="480"/>
                <w:tab w:val="clear" w:pos="720"/>
              </w:tabs>
              <w:ind w:left="240" w:leftChars="0" w:hanging="240" w:firstLineChars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id-ID"/>
              </w:rPr>
              <w:t>Peserta mata kuliah mampu</w:t>
            </w:r>
            <w:r>
              <w:rPr>
                <w:rFonts w:hint="default" w:ascii="Segoe UI" w:hAnsi="Segoe UI" w:cs="Segoe U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t>Memahami teori-teori pertumbuhan wilayah</w:t>
            </w:r>
          </w:p>
          <w:p>
            <w:pPr>
              <w:numPr>
                <w:ilvl w:val="0"/>
                <w:numId w:val="1"/>
              </w:numPr>
              <w:tabs>
                <w:tab w:val="left" w:pos="240"/>
                <w:tab w:val="left" w:pos="480"/>
                <w:tab w:val="clear" w:pos="720"/>
              </w:tabs>
              <w:ind w:left="240" w:leftChars="0" w:hanging="240" w:firstLineChars="0"/>
              <w:jc w:val="both"/>
              <w:rPr>
                <w:rFonts w:ascii="Segoe UI" w:hAnsi="Segoe UI" w:cs="Segoe UI"/>
                <w:color w:val="000000"/>
                <w:lang w:val="id-ID"/>
              </w:rPr>
            </w:pPr>
            <w:r>
              <w:rPr>
                <w:lang w:val="en-US"/>
              </w:rPr>
              <w:t xml:space="preserve">Peserta mata kuliah 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Style w:val="7"/>
        <w:tblW w:w="1332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30"/>
        <w:gridCol w:w="2606"/>
        <w:gridCol w:w="2268"/>
        <w:gridCol w:w="354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CCFFCC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930" w:type="dxa"/>
            <w:tcBorders>
              <w:top w:val="single" w:color="auto" w:sz="4" w:space="0"/>
              <w:bottom w:val="single" w:color="auto" w:sz="4" w:space="0"/>
            </w:tcBorders>
            <w:shd w:val="clear" w:color="auto" w:fill="CCFFCC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KEMAMPUAN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AKHIR</w:t>
            </w:r>
          </w:p>
        </w:tc>
        <w:tc>
          <w:tcPr>
            <w:tcW w:w="2606" w:type="dxa"/>
            <w:tcBorders>
              <w:top w:val="single" w:color="auto" w:sz="4" w:space="0"/>
              <w:bottom w:val="single" w:color="auto" w:sz="4" w:space="0"/>
            </w:tcBorders>
            <w:shd w:val="clear" w:color="auto" w:fill="CCFFCC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MATERI 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CCFFCC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BENTUK PEMBELAJARAN 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shd w:val="clear" w:color="auto" w:fill="CCFFCC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 xml:space="preserve">SUMBER 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sv-SE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PEMBELAJARAN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shd w:val="clear" w:color="auto" w:fill="CCFFCC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sv-SE"/>
              </w:rPr>
              <w:t>INDIKATOR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PENILAIAN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>Mampu m</w:t>
            </w:r>
            <w:r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  <w:t>emberikan</w:t>
            </w:r>
            <w:r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perbedaannya dengan perencanaan kota/desa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dan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Pengertian Perencanaan  Wilayah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perbedaannya dengan perencanaan kota/desa</w:t>
            </w:r>
          </w:p>
          <w:p>
            <w:pPr>
              <w:numPr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Pengertian Perencanaan  Wilayah</w:t>
            </w:r>
          </w:p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>
            <w:pPr>
              <w:numPr>
                <w:ilvl w:val="0"/>
                <w:numId w:val="2"/>
              </w:numP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48" w:leftChars="0" w:hanging="248" w:firstLineChars="0"/>
              <w:jc w:val="both"/>
              <w:textAlignment w:val="baseline"/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</w:pPr>
            <w:bookmarkStart w:id="0" w:name="OLE_LINK2"/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48" w:leftChars="0" w:hanging="248" w:firstLineChars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bookmarkEnd w:id="0"/>
          <w:p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248" w:leftChars="0" w:hanging="248" w:firstLineChars="0"/>
              <w:jc w:val="both"/>
              <w:textAlignment w:val="baseline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</w:t>
            </w:r>
            <w:bookmarkStart w:id="1" w:name="OLE_LINK1"/>
            <w:r>
              <w:rPr>
                <w:rFonts w:hint="default" w:ascii="Segoe UI" w:hAnsi="Segoe UI" w:cs="Segoe UI"/>
                <w:sz w:val="21"/>
                <w:szCs w:val="21"/>
              </w:rPr>
              <w:t>ohn Glasson, terjemahan oleh Paul Sitohang,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“Pengantar Perencanaan Regional”,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Lembaga Penerbit FEUI, Jakarta, 1977.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  <w:bookmarkEnd w:id="1"/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  <w:t xml:space="preserve">memberikan 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perbedaannya dengan perencanaan kota/desa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dan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Pengertian Perencanaan  Wilayah</w:t>
            </w:r>
          </w:p>
          <w:p>
            <w:pPr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Abad 20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awal Abad 20</w:t>
            </w: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Abad 20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awal Abad 20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>
            <w:pPr>
              <w:pStyle w:val="10"/>
              <w:numPr>
                <w:ilvl w:val="0"/>
                <w:numId w:val="4"/>
              </w:numPr>
              <w:spacing w:after="0" w:line="240" w:lineRule="auto"/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Media : kelas, komputer, LCD, whiteboard, web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John Friedman and Clyde Weaver,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“Teritory and Function, The Evolution of Regional Planning”,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Edward Arnold, British, 1979.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(TERP,JFCW)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</w:rPr>
              <w:t xml:space="preserve">Walter Isard,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“Methods of Regional Analysis : an Introduction to Regional Science”, </w:t>
            </w:r>
            <w:r>
              <w:rPr>
                <w:rFonts w:hint="default" w:ascii="Segoe UI" w:hAnsi="Segoe UI" w:cs="Segoe UI"/>
                <w:iCs/>
                <w:sz w:val="21"/>
                <w:szCs w:val="21"/>
              </w:rPr>
              <w:t>MIT Press, Cambridge, 1976.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</w:t>
            </w:r>
          </w:p>
          <w:p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Haruo, N., 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Regional Development in Third World Countries – Paradigms and Operational Principles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”,  The International Development Journal, Co. Ltd. Tokyo. Japan. 2000.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ind w:left="-12" w:leftChars="-5" w:firstLine="10" w:firstLineChars="5"/>
              <w:jc w:val="both"/>
              <w:textAlignment w:val="baseline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Abad 20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awal Abad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sejak 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Perencanaan Wilayah Setelah Perang Dunia ke II</w:t>
            </w: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sejak 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Perencanaan Wilayah Setelah Perang Dunia ke II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>
            <w:pPr>
              <w:numPr>
                <w:ilvl w:val="0"/>
                <w:numId w:val="6"/>
              </w:numPr>
              <w:tabs>
                <w:tab w:val="clear" w:pos="360"/>
              </w:tabs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John Friedman and Clyde Weaver,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“Teritory and Function, The Evolution of Regional Planning”,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Edward Arnold, British, 1979.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(TERP,JFCW)</w:t>
            </w:r>
          </w:p>
          <w:p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</w:rPr>
              <w:t xml:space="preserve">Walter Isard,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“Methods of Regional Analysis : an Introduction to Regional Science”, </w:t>
            </w:r>
            <w:r>
              <w:rPr>
                <w:rFonts w:hint="default" w:ascii="Segoe UI" w:hAnsi="Segoe UI" w:cs="Segoe UI"/>
                <w:iCs/>
                <w:sz w:val="21"/>
                <w:szCs w:val="21"/>
              </w:rPr>
              <w:t>MIT Press, Cambridge, 1976.</w:t>
            </w:r>
          </w:p>
          <w:p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Haruo, N., 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Regional Development in Third World Countries – Paradigms and Operational Principles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”,  The International Development Journal, Co. Ltd. Tokyo. Japan. 2000.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ind w:left="10" w:leftChars="0" w:hanging="10" w:hangingChars="5"/>
              <w:jc w:val="both"/>
              <w:textAlignment w:val="baseline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sejak 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Perencanaan Wilayah Setelah Perang Dunia ke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Wilayah Pengembangan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 dan Kekeliruan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perencanaan</w:t>
            </w:r>
          </w:p>
          <w:p>
            <w:pPr>
              <w:numPr>
                <w:ilvl w:val="0"/>
                <w:numId w:val="8"/>
              </w:numPr>
              <w:ind w:left="240" w:leftChars="0" w:hanging="24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bookmarkStart w:id="2" w:name="OLE_LINK3"/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Wilayah Pengembangan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 dan Kekeliruan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perencanaan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ind w:left="240" w:leftChars="0" w:hanging="24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  <w:bookmarkEnd w:id="2"/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numPr>
                <w:ilvl w:val="0"/>
                <w:numId w:val="9"/>
              </w:numP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>
            <w:pPr>
              <w:numPr>
                <w:ilvl w:val="0"/>
                <w:numId w:val="9"/>
              </w:numP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John Glasson, terjemahan oleh Paul Sitohang,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“Pengantar Perencanaan Regional”,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Lembaga Penerbit FEUI, Jakarta, 1977.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John Friedman,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“Regional Development and Planning - A Case Study of Venezuela”, 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MIT Press, Cambridge, 1966. 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(RDP,JF)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Wilayah Pengembangan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 dan Kekeliruan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perencanaan</w:t>
            </w:r>
          </w:p>
          <w:p>
            <w:pPr>
              <w:numPr>
                <w:ilvl w:val="0"/>
                <w:numId w:val="8"/>
              </w:numPr>
              <w:ind w:left="240" w:leftChars="0" w:hanging="240" w:firstLineChars="0"/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Wilayah: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homogen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fungsional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Contoh kasus, penentuan batas wilayah dengan metode multivariat 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Wilayah: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homogen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fungsional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Contoh kasus, penentuan batas wilayah dengan metode multivariat 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numPr>
                <w:ilvl w:val="0"/>
                <w:numId w:val="9"/>
              </w:numP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>
            <w:pPr>
              <w:numPr>
                <w:ilvl w:val="0"/>
                <w:numId w:val="9"/>
              </w:numPr>
              <w:ind w:left="360" w:leftChars="0" w:hanging="360" w:firstLineChars="0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LCD, whiteboard, web 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1. 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2. 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numPr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3. Joseph F Hair et all</w:t>
            </w:r>
            <w:r>
              <w:rPr>
                <w:rFonts w:hint="default" w:ascii="Segoe UI" w:hAnsi="Segoe UI" w:cs="Segoe UI"/>
                <w:sz w:val="21"/>
                <w:szCs w:val="21"/>
              </w:rPr>
              <w:t>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Multivariate data Analysis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Pearson New international Edition Edinburg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2014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="0" w:leftChars="0" w:firstLine="0" w:firstLine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Wilayah: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homogen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fungsional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Contoh kasus, penentuan batas wilayah dengan metode multivariat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 menjelaskan 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Model-model Analisa Wilayah 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 Inter Regional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Model-model Analisa Wilayah 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 Inter Regional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13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1. 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</w:t>
            </w:r>
            <w:r>
              <w:rPr>
                <w:rFonts w:hint="default" w:ascii="Segoe UI" w:hAnsi="Segoe UI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 xml:space="preserve">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2. 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3. Joseph F Hair et all</w:t>
            </w:r>
            <w:r>
              <w:rPr>
                <w:rFonts w:hint="default" w:ascii="Segoe UI" w:hAnsi="Segoe UI" w:cs="Segoe UI"/>
                <w:sz w:val="21"/>
                <w:szCs w:val="21"/>
              </w:rPr>
              <w:t>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Multivariate data Analysis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Pearson New international Edition Edinburg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2014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 xml:space="preserve">menjelaskan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Model-model Analisa Wilayah 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 Inter Regional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Analisa Wilayah Inter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Regional Account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Pendapatan Nasional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Ekonomi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Comparative advantange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Inter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Regional Account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Pendapatan Nasional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Ekonomi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Comparative advantange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14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1. 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</w:t>
            </w:r>
            <w:r>
              <w:rPr>
                <w:rFonts w:hint="default" w:ascii="Segoe UI" w:hAnsi="Segoe UI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 xml:space="preserve">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2. 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3. Joseph F Hair et all</w:t>
            </w:r>
            <w:r>
              <w:rPr>
                <w:rFonts w:hint="default" w:ascii="Segoe UI" w:hAnsi="Segoe UI" w:cs="Segoe UI"/>
                <w:sz w:val="21"/>
                <w:szCs w:val="21"/>
              </w:rPr>
              <w:t>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Multivariate data Analysis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Pearson New international Edition Edinburg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2014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m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enjelaskan Analisa Wilayah Inter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Regional Account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Pendapatan Nasional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Ekonomi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Comparative advantange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Jangka pendek 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Jangka Panjang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Jangka pendek 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Jangka Panjang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16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16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J</w:t>
            </w:r>
            <w:r>
              <w:rPr>
                <w:rFonts w:hint="default" w:ascii="Segoe UI" w:hAnsi="Segoe UI" w:cs="Segoe UI"/>
                <w:sz w:val="21"/>
                <w:szCs w:val="21"/>
              </w:rPr>
              <w:t>ohn Glasson, terjemahan oleh Paul Sitohang,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“Pengantar Perencanaan Regional”,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Lembaga Penerbit FEUI, Jakarta, 1977.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Jangka pendek 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Jangka Panjang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>Mampu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 menjelaskan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Eksistensi Pusat Pelayanan dan Aglomerasi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Ruang Daerah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Central Place theory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Multivariat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Eksistensi Pusat Pelayanan dan Aglomerasi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Ruang Daerah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Central Place theory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Multivariat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17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John Glasson, terjemahan oleh Paul Sitohang,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“Pengantar Perencanaan Regional”,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Lembaga Penerbit FEUI, Jakarta, 1977.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Ketepatan dalam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 xml:space="preserve">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Analisa Wilayah Intra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Eksistensi Pusat Pelayanan dan Aglomerasi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Ruang Daerah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Central Place theory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Multivariat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930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Kawasan Lindung dan Kawasan Budidaya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Pengertian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Lindung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Budidaya</w:t>
            </w:r>
          </w:p>
        </w:tc>
        <w:tc>
          <w:tcPr>
            <w:tcW w:w="2606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Kawasan Lindung dan Kawasan Budidaya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Pengertian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Lindung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Budidaya</w:t>
            </w: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19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19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shd w:val="clear" w:color="auto" w:fill="auto"/>
            <w:vAlign w:val="top"/>
          </w:tcPr>
          <w:p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bookmarkStart w:id="3" w:name="OLE_LINK8"/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“Undang-undang no. 26  tentang Penataan Ruang tahun 2007”- 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(UU-No.26/07)</w:t>
            </w:r>
            <w:bookmarkEnd w:id="3"/>
          </w:p>
          <w:p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“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Peraturan Pemerintah No. 46, 47,48 tahun 2007 tentang Perdagangan Bebas Pelabuhan Bebas”</w:t>
            </w:r>
          </w:p>
          <w:p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Pradhan, P.K.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Manual for Urban Rural Linkage and Rural Development Analysis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”. New Hira Books Enterprises. Kirtipur. Kathmandu. 2003</w:t>
            </w:r>
            <w:bookmarkStart w:id="4" w:name="OLE_LINK9"/>
          </w:p>
          <w:p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Keppres No. 57 Tahun 1989 dan Kepres No. 32 Tahun 1990 tentang Kawasan Lindung dan Kawasan Budidaya.</w:t>
            </w:r>
          </w:p>
          <w:bookmarkEnd w:id="4"/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Kawasan Lindung dan Kawasan Budidaya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Pengertian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Lindung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Budidaya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tentang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Sejarah Konsep Teori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Kutub Pertumbuhan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kutub Pertumbuhan di Indonesia</w:t>
            </w: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Sejarah Konsep Teori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kutub Pertumbuhan di Indonesia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21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21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</w:rPr>
              <w:t>Srinivasan Rengasamy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>, “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</w:rPr>
              <w:t xml:space="preserve">Regional Planning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 xml:space="preserve"> and Development</w:t>
            </w: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”. 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eastAsia="id-ID"/>
              </w:rPr>
              <w:t>Madurai Institute of Social SciencesRegional Planning &amp; Development</w:t>
            </w:r>
            <w:r>
              <w:rPr>
                <w:rFonts w:hint="default" w:ascii="Segoe UI" w:hAnsi="Segoe UI" w:eastAsia="Times New Roman" w:cs="Segoe UI"/>
                <w:b w:val="0"/>
                <w:bCs/>
                <w:color w:val="000000"/>
                <w:sz w:val="21"/>
                <w:szCs w:val="21"/>
                <w:lang w:val="en-US" w:eastAsia="id-ID"/>
              </w:rPr>
              <w:t>,  Madurai, 2008</w:t>
            </w:r>
          </w:p>
          <w:p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Ernan Rustiadi dkk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“Pe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en-US"/>
              </w:rPr>
              <w:t>rencanaan dan Pengembangan Wilayah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>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Crestpent Press dan Yayasan Obor Indonesia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, Jakarta,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2009</w:t>
            </w:r>
            <w:r>
              <w:rPr>
                <w:rFonts w:hint="default" w:ascii="Segoe UI" w:hAnsi="Segoe UI" w:cs="Segoe UI"/>
                <w:sz w:val="21"/>
                <w:szCs w:val="21"/>
              </w:rPr>
              <w:t>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  <w:p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leftChars="0"/>
              <w:jc w:val="both"/>
              <w:textAlignment w:val="baseline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</w:rPr>
              <w:t>John Glasson, terjemahan oleh Paul Sitohang,</w:t>
            </w: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 “Pengantar Perencanaan Regional”,</w:t>
            </w:r>
            <w:r>
              <w:rPr>
                <w:rFonts w:hint="default" w:ascii="Segoe UI" w:hAnsi="Segoe UI" w:cs="Segoe UI"/>
                <w:sz w:val="21"/>
                <w:szCs w:val="21"/>
              </w:rPr>
              <w:t xml:space="preserve">  Lembaga Penerbit FEUI, Jakarta, 1977. (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PPR,JG)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Ketepatan dalam m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>emberikan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 penjelasan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Sejarah Konsep Teori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Kutub Pertumbuhan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kutub Pertumbuhan di Indonesia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tentang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Persyaratan Kawasan Agropolitan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Agropolitan di Indonesia</w:t>
            </w: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Persyaratan Kawasan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Agropolitan di Indonesia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21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23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/>
                <w:sz w:val="21"/>
                <w:szCs w:val="21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</w:rPr>
              <w:t xml:space="preserve">“Undang-undang no. 26  tentang Penataan Ruang tahun 2007”- </w:t>
            </w:r>
            <w:r>
              <w:rPr>
                <w:rFonts w:hint="default" w:ascii="Segoe UI" w:hAnsi="Segoe UI" w:cs="Segoe UI"/>
                <w:b/>
                <w:sz w:val="21"/>
                <w:szCs w:val="21"/>
              </w:rPr>
              <w:t>(UU-No.26/07)</w:t>
            </w:r>
          </w:p>
          <w:p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 w:val="0"/>
                <w:bCs/>
                <w:sz w:val="21"/>
                <w:szCs w:val="21"/>
                <w:lang w:val="en-US"/>
              </w:rPr>
              <w:t xml:space="preserve">Kementerian Pertanian, </w:t>
            </w:r>
            <w:r>
              <w:rPr>
                <w:rFonts w:hint="default" w:ascii="Segoe UI" w:hAnsi="Segoe UI" w:cs="Segoe UI"/>
                <w:b w:val="0"/>
                <w:bCs/>
                <w:i/>
                <w:iCs/>
                <w:sz w:val="21"/>
                <w:szCs w:val="21"/>
                <w:lang w:val="en-US"/>
              </w:rPr>
              <w:t>“Konsep Agropolitan”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menjelaskan tentang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Persyaratan Kawasan Agropolitan</w:t>
            </w:r>
          </w:p>
          <w:p>
            <w:pPr>
              <w:numPr>
                <w:ilvl w:val="0"/>
                <w:numId w:val="11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Agropolitan di Indonesia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tentang Konsep Minapolitan dan 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ilvl w:val="0"/>
                <w:numId w:val="25"/>
              </w:numPr>
              <w:ind w:left="420" w:leftChars="0" w:hanging="42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Minapolitan</w:t>
            </w:r>
          </w:p>
          <w:p>
            <w:pPr>
              <w:numPr>
                <w:ilvl w:val="0"/>
                <w:numId w:val="25"/>
              </w:numPr>
              <w:ind w:left="420" w:leftChars="0" w:hanging="42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Planning for Sustainable Regional development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26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contextual instruction </w:t>
            </w: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>dan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 xml:space="preserve"> problem base learning</w:t>
            </w:r>
          </w:p>
          <w:p>
            <w:pPr>
              <w:pStyle w:val="10"/>
              <w:numPr>
                <w:ilvl w:val="0"/>
                <w:numId w:val="26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Pradhan, P.K. “</w:t>
            </w: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Manual for Urban Rural Linkage and Rural Development Analysis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”. New Hira Books Enterprises. Kirtipur. Kathmandu. 2003</w:t>
            </w:r>
          </w:p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menjelaskan</w:t>
            </w:r>
          </w:p>
          <w:p>
            <w:pPr>
              <w:numPr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Minapolitan dan 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1930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id-ID"/>
              </w:rPr>
              <w:t xml:space="preserve">Mampu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tentang Berbagai Contoh Rencana tata Ruang Wilayah di Indonesia dan di Luar negeri</w:t>
            </w:r>
          </w:p>
        </w:tc>
        <w:tc>
          <w:tcPr>
            <w:tcW w:w="2606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Berbagai Contoh Rencana tata Ruang Wilayah di Indonesia dan di Luar negeri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27"/>
              </w:numPr>
              <w:spacing w:after="0" w:line="240" w:lineRule="auto"/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Metoda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contextual instruction</w:t>
            </w:r>
          </w:p>
          <w:p>
            <w:pPr>
              <w:pStyle w:val="10"/>
              <w:numPr>
                <w:ilvl w:val="0"/>
                <w:numId w:val="27"/>
              </w:numPr>
              <w:spacing w:after="0" w:line="240" w:lineRule="auto"/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Cs/>
                <w:sz w:val="21"/>
                <w:szCs w:val="21"/>
                <w:lang w:val="id-ID"/>
              </w:rPr>
              <w:t xml:space="preserve">Media : kelas, komputer, </w:t>
            </w:r>
            <w:r>
              <w:rPr>
                <w:rFonts w:hint="default" w:ascii="Segoe UI" w:hAnsi="Segoe UI" w:cs="Segoe UI"/>
                <w:i/>
                <w:iCs/>
                <w:sz w:val="21"/>
                <w:szCs w:val="21"/>
                <w:lang w:val="id-ID"/>
              </w:rPr>
              <w:t>LCD, whiteboard, web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10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Buku-buku RTRWN, RTRWP di berbagai daerah di Indonesia, RTRW Kabupaten di berbagai wilayah di Indonesia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sv-SE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 xml:space="preserve">Ketepatan dalam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tentang Berbagai Contoh Rencana tata Ruang Wilayah di Indonesia dan di Luar negeri</w:t>
            </w:r>
          </w:p>
        </w:tc>
      </w:tr>
    </w:tbl>
    <w:p>
      <w:pPr>
        <w:autoSpaceDE w:val="0"/>
        <w:autoSpaceDN w:val="0"/>
        <w:adjustRightInd w:val="0"/>
        <w:jc w:val="center"/>
        <w:rPr>
          <w:rFonts w:hint="default" w:ascii="Segoe UI" w:hAnsi="Segoe UI" w:cs="Segoe UI"/>
          <w:b/>
          <w:sz w:val="21"/>
          <w:szCs w:val="21"/>
          <w:lang w:val="id-ID"/>
        </w:rPr>
      </w:pPr>
    </w:p>
    <w:p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>
        <w:rPr>
          <w:rFonts w:ascii="Segoe UI" w:hAnsi="Segoe UI" w:cs="Segoe UI"/>
          <w:b/>
          <w:sz w:val="22"/>
          <w:szCs w:val="22"/>
          <w:lang w:val="id-ID"/>
        </w:rPr>
        <w:t>09 October 2017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en-US"/>
        </w:rPr>
        <w:t>Laili Fuji Widyawati</w:t>
      </w:r>
      <w:r>
        <w:rPr>
          <w:rFonts w:ascii="Segoe UI" w:hAnsi="Segoe UI" w:cs="Segoe UI"/>
          <w:b/>
          <w:sz w:val="22"/>
          <w:szCs w:val="22"/>
          <w:lang w:val="id-ID"/>
        </w:rPr>
        <w:t>, ST,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en-US"/>
        </w:rPr>
        <w:t>Dr. Ir. Ken Martina Kasikoen</w:t>
      </w:r>
      <w:r>
        <w:rPr>
          <w:rFonts w:ascii="Segoe UI" w:hAnsi="Segoe UI" w:cs="Segoe UI"/>
          <w:b/>
          <w:sz w:val="22"/>
          <w:szCs w:val="22"/>
          <w:lang w:val="id-ID"/>
        </w:rPr>
        <w:t>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Style w:val="7"/>
        <w:tblW w:w="1332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02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77 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65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60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SEKOR </w:t>
            </w:r>
            <w:r>
              <w:rPr>
                <w:rFonts w:ascii="Segoe UI" w:hAnsi="Segoe UI" w:cs="Segoe UI"/>
                <w:b/>
                <w:sz w:val="21"/>
                <w:szCs w:val="21"/>
                <w:u w:val="single"/>
                <w:lang w:val="id-ID"/>
              </w:rPr>
              <w:t>&gt;</w:t>
            </w: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 xml:space="preserve"> 45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SEKOR &lt; 45</w:t>
            </w:r>
          </w:p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  <w:vAlign w:val="top"/>
          </w:tcPr>
          <w:p>
            <w:pPr>
              <w:jc w:val="center"/>
              <w:rPr>
                <w:rFonts w:ascii="Segoe UI" w:hAnsi="Segoe UI" w:cs="Segoe UI"/>
                <w:b/>
                <w:sz w:val="21"/>
                <w:szCs w:val="21"/>
                <w:lang w:val="id-ID"/>
              </w:rPr>
            </w:pPr>
            <w:r>
              <w:rPr>
                <w:rFonts w:ascii="Segoe UI" w:hAnsi="Segoe UI" w:cs="Segoe UI"/>
                <w:b/>
                <w:sz w:val="21"/>
                <w:szCs w:val="21"/>
                <w:lang w:val="id-ID"/>
              </w:rPr>
              <w:t>BOBOT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perbedaannya dengan perencanaan kota/desa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Pengertian Perencanaan  Wilayah dengan sangat tepat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perbedaannya dengan perencanaan kota/desa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Pengertian Perencanaan  Wilayah dengan tepat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perbedaannya dengan perencanaan kota/desa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cukup tepat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perbedaannya dengan perencanaan kota/desa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kurang tepat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Tidak 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Pengertian dasar mengenai wilayah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,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perbedaannya dengan perencanaan kota/desa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2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dan Tugas kelompok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Abad 20</w:t>
            </w:r>
          </w:p>
          <w:p>
            <w:pPr>
              <w:ind w:left="48" w:left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awal Abad 20 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Abad 20</w:t>
            </w:r>
          </w:p>
          <w:p>
            <w:pPr>
              <w:ind w:left="48" w:left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awal Abad 20 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dan awal  Abad 20</w:t>
            </w:r>
          </w:p>
          <w:p>
            <w:pPr>
              <w:ind w:left="48" w:left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dan awal  Abad 20</w:t>
            </w:r>
          </w:p>
          <w:p>
            <w:pPr>
              <w:ind w:left="48" w:left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Tidak 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sebelum dan awal  Abad 20</w:t>
            </w:r>
          </w:p>
          <w:p>
            <w:pPr>
              <w:ind w:left="48" w:left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9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3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sejak tahun 1930</w:t>
            </w:r>
          </w:p>
          <w:p>
            <w:pPr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Perencanaan Wilayah Setelah Perang Dunia ke II 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sejak 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Perencanaan Wilayah Setelah Perang Dunia ke II 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dan Setelah Perang Dunia ke II 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Perkembangan dan Setelah Perang Dunia ke II 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48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Tidak 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Sejarah konsep perencanaan wilayah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tahun 1930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Perkembangan dan Setelah Perang Dunia ke II 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4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(UTS)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Wilayah Pengembangan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 dan Kekeliruan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perencanaan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ind w:left="240" w:leftChars="0" w:hanging="240" w:firstLineChars="0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  <w:p>
            <w:pPr>
              <w:numPr>
                <w:numId w:val="0"/>
              </w:numPr>
              <w:tabs>
                <w:tab w:val="left" w:pos="240"/>
              </w:tabs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Wilayah Pengembangan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 dan Kekeliruan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overflowPunct w:val="0"/>
              <w:autoSpaceDE w:val="0"/>
              <w:autoSpaceDN w:val="0"/>
              <w:adjustRightInd w:val="0"/>
              <w:ind w:left="240" w:leftChars="0" w:hanging="240" w:firstLineChars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perencanaan</w:t>
            </w:r>
          </w:p>
          <w:p>
            <w:pPr>
              <w:numPr>
                <w:ilvl w:val="0"/>
                <w:numId w:val="8"/>
              </w:numPr>
              <w:tabs>
                <w:tab w:val="left" w:pos="240"/>
              </w:tabs>
              <w:ind w:left="240" w:leftChars="0" w:hanging="240" w:firstLineChars="0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Wilayah Pengembangan,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, kekeliruan,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Chars="0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Wilayah Pengembangan,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, kekeliruan,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Chars="0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Tidak memberikan penjelasan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Konsep Wilayah :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Wilayah Pengembangan,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Fakta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, kekeliruan, 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Daerah Formal dan fungsional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Chars="0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Multi-level planning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5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(UTS)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Konsep Wilayah: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homogen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fungsional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Contoh kasus, penentuan batas wilayah dengan metode multivariat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Dengan sangat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Konsep Wilayah: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homogen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Wilayah fungsional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eastAsia="+mn-ea" w:cs="Segoe UI"/>
                <w:color w:val="000000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Contoh kasus, penentuan batas wilayah dengan metode multivariat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Dengan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  homogen dan fungsional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cukup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  homogen dan fungsional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kurang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Tidak memberikan penjelasan :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Penentuan Batas Wilayah  homogen dan fungsional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6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(UTS)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Tugas Kelompok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Model-model Analisa Wilayah 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 Inter Regional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  <w:p>
            <w:pPr>
              <w:numPr>
                <w:numId w:val="0"/>
              </w:numPr>
              <w:tabs>
                <w:tab w:val="left" w:pos="240"/>
              </w:tabs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Model-model Analisa Wilayah 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 Inter Regional</w:t>
            </w:r>
          </w:p>
          <w:p>
            <w:pPr>
              <w:numPr>
                <w:ilvl w:val="0"/>
                <w:numId w:val="12"/>
              </w:numPr>
              <w:tabs>
                <w:tab w:val="left" w:pos="240"/>
              </w:tabs>
              <w:ind w:left="418" w:leftChars="0" w:hanging="178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Analisa wilayah Intra regional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Analisa Wilayah, model analisa inter  dan intra  Wilayah 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Analisa Wilayah, model analisa inter  dan intra  Wilayah 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Tidask memberikan penjelasan Analisa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Analisa Wilayah, model analisa inter  dan intra  Wilayah 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9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7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(UTS)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 dan Tugas kelompok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0" w:leftChars="0" w:hanging="5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 Inter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Regional Account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Pendapatan Nasional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Ekonomi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Comparative advantange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0" w:leftChars="0" w:hanging="5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 Inter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0" w:leftChars="0" w:firstLine="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Regional Account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Pendapatan Nasional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Ekonomi Wilayah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Comparative advantange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0" w:leftChars="0" w:hanging="5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Memberikan penjelasan 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Regional, Pendapatan Nasional, Struktur Ekonomi Wilayah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Cukup 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0" w:leftChars="0" w:hanging="5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Memberikan penjelasan 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Regional, Pendapatan Nasional, Struktur Ekonomi Wilayah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kurang 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ind w:left="0" w:leftChars="0" w:hanging="5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Tidak memberikan penjelasan 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Kerangka Regional, Pendapatan Nasional, Struktur Ekonomi Wilayah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9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8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Memberikan penjelasan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Jangka pendek 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Jangka Panjang</w:t>
            </w:r>
          </w:p>
          <w:p>
            <w:pPr>
              <w:numPr>
                <w:numId w:val="0"/>
              </w:numPr>
              <w:ind w:left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Memberikan penjelasan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Jangka pendek </w:t>
            </w:r>
          </w:p>
          <w:p>
            <w:pPr>
              <w:numPr>
                <w:ilvl w:val="0"/>
                <w:numId w:val="15"/>
              </w:numPr>
              <w:ind w:left="420" w:leftChars="0" w:hanging="42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Jangka Panjang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Memberikan penjelasan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 Jangka pendek  dan Jangka Panjang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Memberikan penjelasan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 Jangka pendek  dan Jangka Panjang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Tidak memberikan penjelasan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Pertumbuhan Wilayah Jangka pendek  dan Jangka Panjang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9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Tugas Kelompok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 Intra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Eksistensi Pusat Pelayanan dan Aglomerasi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Ruang Daerah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Central Place theory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Multivariat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 Intra Regional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Eksistensi Pusat Pelayanan dan Aglomerasi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Struktur Ruang Daerah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Central Place theory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Multivariat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  Pusat Pelayanan dan Aglomerasi dan Struktur Ruang Daerah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Analisa Wilayah  Pusat Pelayanan dan Aglomerasi dan Struktur Ruang Daerah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Tidak memberikan penjelasan Analisa Wilayah  Pusat Pelayanan dan Aglomerasi dan Struktur Ruang Daerah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Indeks sentralitas terbobot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rPr>
                <w:rFonts w:hint="default" w:ascii="Segoe UI" w:hAnsi="Segoe UI" w:cs="Segoe UI"/>
                <w:sz w:val="2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9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10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Kawasan Lindung dan Kawasan Budidaya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Pengertian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Lindung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Budidaya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Kawasan Lindung dan Kawasan Budidaya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Pengertian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Lindung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Kriteria Kawasan Budidaya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Kawasan Lindung dan Kawasan Budidaya</w:t>
            </w:r>
          </w:p>
          <w:p>
            <w:pPr>
              <w:numPr>
                <w:numId w:val="0"/>
              </w:numPr>
              <w:tabs>
                <w:tab w:val="left" w:pos="240"/>
              </w:tabs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Dan kriterianya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Kawasan Lindung dan Kawasan Budidaya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Dan kriterianya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Tidak memberikan penjelasan Kawasan Lindung dan Kawasan Budidaya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Dan kriterianya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11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Sejarah Konsep Teori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kutub Pertumbuhan di Indonesia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Sejarah Konsep Teori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Kutub Pertumbuhan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kutub Pertumbuhan di Indonesia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Tidak memberikan penjelasan 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Teori Pertumbuhan (Growth Pole)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12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Memberikan penjelasan 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Persyaratan Kawasan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Agropolitan di Indonesia</w:t>
            </w:r>
          </w:p>
          <w:p>
            <w:pPr>
              <w:numPr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Memberikan penjelasan 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Persyaratan Kawasan Agropolitan</w:t>
            </w:r>
          </w:p>
          <w:p>
            <w:pPr>
              <w:numPr>
                <w:ilvl w:val="0"/>
                <w:numId w:val="11"/>
              </w:numPr>
              <w:tabs>
                <w:tab w:val="left" w:pos="240"/>
              </w:tabs>
              <w:ind w:left="239" w:leftChars="0" w:hanging="239" w:hangingChars="114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 Konsep Agropolitan di Indonesia</w:t>
            </w:r>
          </w:p>
          <w:p>
            <w:pPr>
              <w:numPr>
                <w:ilvl w:val="0"/>
                <w:numId w:val="0"/>
              </w:numPr>
              <w:tabs>
                <w:tab w:val="left" w:pos="240"/>
              </w:tabs>
              <w:ind w:left="-12" w:leftChars="-5" w:firstLine="12" w:firstLineChars="6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Konsep Agropolitan dan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Penerapannya 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Memberikan penjelasan Konsep Agropolitan dan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Penerapannya 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 xml:space="preserve">Tidak memberikan penjelasan Konsep Agropolitan dan </w:t>
            </w: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Penerapannya 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13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pengertian</w:t>
            </w:r>
          </w:p>
          <w:p>
            <w:pPr>
              <w:numPr>
                <w:ilvl w:val="0"/>
                <w:numId w:val="25"/>
              </w:numPr>
              <w:ind w:left="420" w:leftChars="0" w:hanging="42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Minapolitan</w:t>
            </w:r>
          </w:p>
          <w:p>
            <w:pPr>
              <w:numPr>
                <w:ilvl w:val="0"/>
                <w:numId w:val="25"/>
              </w:numPr>
              <w:ind w:left="420" w:leftChars="0" w:hanging="42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sangat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pengertian</w:t>
            </w:r>
          </w:p>
          <w:p>
            <w:pPr>
              <w:numPr>
                <w:ilvl w:val="0"/>
                <w:numId w:val="25"/>
              </w:numPr>
              <w:ind w:left="420" w:leftChars="0" w:hanging="42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Konsep Minapolitan</w:t>
            </w:r>
          </w:p>
          <w:p>
            <w:pPr>
              <w:numPr>
                <w:ilvl w:val="0"/>
                <w:numId w:val="25"/>
              </w:numPr>
              <w:ind w:left="420" w:leftChars="0" w:hanging="420" w:firstLine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Dengan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pengertian Konsep Minapolitan dan 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Cukup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Menjelaskan pengertian Konsep Minapolitan dan 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kurang tepat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Tidak menjelaskan pengertian Konsep Minapolitan dan Planning for Sustainable Regional development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5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14</w:t>
            </w:r>
          </w:p>
        </w:tc>
        <w:tc>
          <w:tcPr>
            <w:tcW w:w="1183" w:type="dxa"/>
            <w:vAlign w:val="top"/>
          </w:tcPr>
          <w:p>
            <w:pP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i/>
                <w:sz w:val="21"/>
                <w:szCs w:val="21"/>
                <w:lang w:val="id-ID"/>
              </w:rPr>
              <w:t>Post test</w:t>
            </w:r>
          </w:p>
        </w:tc>
        <w:tc>
          <w:tcPr>
            <w:tcW w:w="992" w:type="dxa"/>
            <w:vAlign w:val="top"/>
          </w:tcPr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Tes tertulis </w:t>
            </w:r>
            <w:r>
              <w:rPr>
                <w:rFonts w:hint="default" w:ascii="Segoe UI" w:hAnsi="Segoe UI" w:cs="Segoe UI"/>
                <w:sz w:val="21"/>
                <w:szCs w:val="21"/>
              </w:rPr>
              <w:t>(U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>A</w:t>
            </w:r>
            <w:r>
              <w:rPr>
                <w:rFonts w:hint="default" w:ascii="Segoe UI" w:hAnsi="Segoe UI" w:cs="Segoe UI"/>
                <w:sz w:val="21"/>
                <w:szCs w:val="21"/>
              </w:rPr>
              <w:t>S)</w:t>
            </w:r>
            <w:r>
              <w:rPr>
                <w:rFonts w:hint="default" w:ascii="Segoe UI" w:hAnsi="Segoe UI" w:cs="Segoe UI"/>
                <w:sz w:val="21"/>
                <w:szCs w:val="21"/>
                <w:lang w:val="id-ID"/>
              </w:rPr>
              <w:t xml:space="preserve"> dan Tugas </w:t>
            </w:r>
            <w:r>
              <w:rPr>
                <w:rFonts w:hint="default" w:ascii="Segoe UI" w:hAnsi="Segoe UI" w:cs="Segoe UI"/>
                <w:sz w:val="21"/>
                <w:szCs w:val="21"/>
                <w:lang w:val="en-US"/>
              </w:rPr>
              <w:t>Kelompok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Berbagai Contoh Rencana tata Ruang Wilayah di Indonesia dan di Luar negeri</w:t>
            </w:r>
          </w:p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Dengan sangat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Berbagai Contoh Rencana tata Ruang Wilayah di Indonesia dan di Luar negeri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Dengan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Berbagai Contoh Rencana tata Ruang Wilayah di Indonesia dan di Luar negeri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cukup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Memberikan penjelasan Berbagai Contoh Rencana tata Ruang Wilayah di Indonesia dan di Luar negeri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 xml:space="preserve">kurang tepat </w:t>
            </w:r>
          </w:p>
        </w:tc>
        <w:tc>
          <w:tcPr>
            <w:tcW w:w="1843" w:type="dxa"/>
            <w:shd w:val="clear" w:color="auto" w:fill="auto"/>
            <w:vAlign w:val="top"/>
          </w:tcPr>
          <w:p>
            <w:pP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</w:pPr>
            <w:r>
              <w:rPr>
                <w:rFonts w:hint="default" w:ascii="Segoe UI" w:hAnsi="Segoe UI" w:cs="Segoe UI"/>
                <w:color w:val="000000"/>
                <w:sz w:val="21"/>
                <w:szCs w:val="21"/>
                <w:lang w:val="en-US"/>
              </w:rPr>
              <w:t>Tidak memberikan penjelasan Berbagai Contoh Rencana tata Ruang Wilayah di Indonesia dan di Luar negeri</w:t>
            </w:r>
          </w:p>
          <w:p>
            <w:pPr>
              <w:rPr>
                <w:rFonts w:hint="default" w:ascii="Segoe UI" w:hAnsi="Segoe UI" w:cs="Segoe UI"/>
                <w:sz w:val="21"/>
                <w:szCs w:val="21"/>
                <w:lang w:val="id-ID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</w:pPr>
            <w:r>
              <w:rPr>
                <w:rFonts w:hint="default" w:ascii="Segoe UI" w:hAnsi="Segoe UI" w:cs="Segoe UI"/>
                <w:bCs/>
                <w:sz w:val="21"/>
                <w:szCs w:val="21"/>
                <w:lang w:val="en-US"/>
              </w:rPr>
              <w:t>13</w:t>
            </w:r>
            <w:r>
              <w:rPr>
                <w:rFonts w:hint="default" w:ascii="Segoe UI" w:hAnsi="Segoe UI" w:cs="Segoe UI"/>
                <w:bCs/>
                <w:sz w:val="21"/>
                <w:szCs w:val="21"/>
                <w:lang w:val="id-ID"/>
              </w:rPr>
              <w:t>%</w:t>
            </w:r>
          </w:p>
        </w:tc>
      </w:tr>
    </w:tbl>
    <w:p>
      <w:pPr>
        <w:rPr>
          <w:rFonts w:ascii="Segoe UI" w:hAnsi="Segoe UI" w:cs="Segoe UI"/>
          <w:sz w:val="22"/>
          <w:szCs w:val="22"/>
          <w:lang w:val="id-ID"/>
        </w:rPr>
      </w:pPr>
    </w:p>
    <w:p>
      <w:pPr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>
      <w:pPr>
        <w:numPr>
          <w:ilvl w:val="0"/>
          <w:numId w:val="28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10%</w:t>
      </w:r>
    </w:p>
    <w:p>
      <w:pPr>
        <w:numPr>
          <w:ilvl w:val="0"/>
          <w:numId w:val="28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20%</w:t>
      </w:r>
    </w:p>
    <w:p>
      <w:pPr>
        <w:numPr>
          <w:ilvl w:val="0"/>
          <w:numId w:val="28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35%</w:t>
      </w:r>
    </w:p>
    <w:p>
      <w:pPr>
        <w:numPr>
          <w:ilvl w:val="0"/>
          <w:numId w:val="28"/>
        </w:numPr>
        <w:tabs>
          <w:tab w:val="left" w:pos="364"/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</w:r>
      <w:r>
        <w:rPr>
          <w:rFonts w:ascii="Segoe UI" w:hAnsi="Segoe UI" w:cs="Segoe UI"/>
          <w:sz w:val="22"/>
          <w:szCs w:val="22"/>
          <w:lang w:val="id-ID"/>
        </w:rPr>
        <w:t>= 35%</w:t>
      </w:r>
    </w:p>
    <w:p>
      <w:pPr>
        <w:rPr>
          <w:rFonts w:ascii="Segoe UI" w:hAnsi="Segoe UI" w:cs="Segoe UI"/>
          <w:sz w:val="22"/>
          <w:szCs w:val="22"/>
          <w:lang w:val="id-ID"/>
        </w:rPr>
      </w:pPr>
    </w:p>
    <w:p>
      <w:pPr>
        <w:rPr>
          <w:rFonts w:ascii="Segoe UI" w:hAnsi="Segoe UI" w:cs="Segoe UI"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>
        <w:rPr>
          <w:rFonts w:ascii="Segoe UI" w:hAnsi="Segoe UI" w:cs="Segoe UI"/>
          <w:b/>
          <w:sz w:val="22"/>
          <w:szCs w:val="22"/>
          <w:lang w:val="id-ID"/>
        </w:rPr>
        <w:t>09 October 2017</w:t>
      </w:r>
      <w:r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en-US"/>
        </w:rPr>
        <w:t>Laili Fuji Widyawati</w:t>
      </w:r>
      <w:r>
        <w:rPr>
          <w:rFonts w:ascii="Segoe UI" w:hAnsi="Segoe UI" w:cs="Segoe UI"/>
          <w:b/>
          <w:sz w:val="22"/>
          <w:szCs w:val="22"/>
          <w:lang w:val="id-ID"/>
        </w:rPr>
        <w:t>, ST,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en-US"/>
        </w:rPr>
        <w:t>Dr. Ir. Ken Martina Kasikoen</w:t>
      </w:r>
      <w:r>
        <w:rPr>
          <w:rFonts w:ascii="Segoe UI" w:hAnsi="Segoe UI" w:cs="Segoe UI"/>
          <w:b/>
          <w:sz w:val="22"/>
          <w:szCs w:val="22"/>
          <w:lang w:val="id-ID"/>
        </w:rPr>
        <w:t>, MT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bookmarkStart w:id="5" w:name="_GoBack"/>
      <w:bookmarkEnd w:id="5"/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sectPr>
      <w:pgSz w:w="15840" w:h="12240" w:orient="landscape"/>
      <w:pgMar w:top="1361" w:right="1418" w:bottom="1361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+mn-e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DC"/>
    <w:multiLevelType w:val="multilevel"/>
    <w:tmpl w:val="01B246D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47B76D6"/>
    <w:multiLevelType w:val="multilevel"/>
    <w:tmpl w:val="147B76D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50B0A"/>
    <w:multiLevelType w:val="singleLevel"/>
    <w:tmpl w:val="16950B0A"/>
    <w:lvl w:ilvl="0" w:tentative="0">
      <w:start w:val="1"/>
      <w:numFmt w:val="decimal"/>
      <w:lvlText w:val="%1. "/>
      <w:legacy w:legacy="1" w:legacySpace="0" w:legacyIndent="283"/>
      <w:lvlJc w:val="left"/>
      <w:pPr>
        <w:ind w:left="851" w:hanging="283"/>
      </w:pPr>
      <w:rPr>
        <w:rFonts w:hint="default" w:ascii="Times New Roman" w:hAnsi="Times New Roman"/>
        <w:b w:val="0"/>
        <w:i w:val="0"/>
        <w:sz w:val="24"/>
        <w:u w:val="none"/>
      </w:rPr>
    </w:lvl>
  </w:abstractNum>
  <w:abstractNum w:abstractNumId="3">
    <w:nsid w:val="1E3E6B56"/>
    <w:multiLevelType w:val="multilevel"/>
    <w:tmpl w:val="1E3E6B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814AE"/>
    <w:multiLevelType w:val="multilevel"/>
    <w:tmpl w:val="1FB814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880F18"/>
    <w:multiLevelType w:val="multilevel"/>
    <w:tmpl w:val="21880F1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7546F"/>
    <w:multiLevelType w:val="multilevel"/>
    <w:tmpl w:val="2B17546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CC4547"/>
    <w:multiLevelType w:val="multilevel"/>
    <w:tmpl w:val="2CCC4547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>
    <w:nsid w:val="30F14D9A"/>
    <w:multiLevelType w:val="multilevel"/>
    <w:tmpl w:val="30F14D9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9">
    <w:nsid w:val="325E73D9"/>
    <w:multiLevelType w:val="multilevel"/>
    <w:tmpl w:val="325E73D9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6E7E84"/>
    <w:multiLevelType w:val="multilevel"/>
    <w:tmpl w:val="356E7E84"/>
    <w:lvl w:ilvl="0" w:tentative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19501B"/>
    <w:multiLevelType w:val="multilevel"/>
    <w:tmpl w:val="3F19501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995058"/>
    <w:multiLevelType w:val="multilevel"/>
    <w:tmpl w:val="5099505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>
    <w:nsid w:val="59DB74C6"/>
    <w:multiLevelType w:val="singleLevel"/>
    <w:tmpl w:val="59DB74C6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4">
    <w:nsid w:val="59DB766B"/>
    <w:multiLevelType w:val="singleLevel"/>
    <w:tmpl w:val="59DB766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5">
    <w:nsid w:val="59DB77DE"/>
    <w:multiLevelType w:val="singleLevel"/>
    <w:tmpl w:val="59DB77DE"/>
    <w:lvl w:ilvl="0" w:tentative="0">
      <w:start w:val="1"/>
      <w:numFmt w:val="bullet"/>
      <w:lvlText w:val=""/>
      <w:lvlJc w:val="left"/>
      <w:pPr>
        <w:ind w:left="418" w:leftChars="0" w:hanging="418" w:firstLineChars="0"/>
      </w:pPr>
      <w:rPr>
        <w:rFonts w:hint="default" w:ascii="Wingdings" w:hAnsi="Wingdings" w:cs="Wingdings"/>
        <w:sz w:val="15"/>
      </w:rPr>
    </w:lvl>
  </w:abstractNum>
  <w:abstractNum w:abstractNumId="16">
    <w:nsid w:val="59DB7999"/>
    <w:multiLevelType w:val="singleLevel"/>
    <w:tmpl w:val="59DB7999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7">
    <w:nsid w:val="59DB7C87"/>
    <w:multiLevelType w:val="singleLevel"/>
    <w:tmpl w:val="59DB7C87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8">
    <w:nsid w:val="59DB7F6B"/>
    <w:multiLevelType w:val="singleLevel"/>
    <w:tmpl w:val="59DB7F6B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59DB83A0"/>
    <w:multiLevelType w:val="singleLevel"/>
    <w:tmpl w:val="59DB83A0"/>
    <w:lvl w:ilvl="0" w:tentative="0">
      <w:start w:val="1"/>
      <w:numFmt w:val="decimal"/>
      <w:suff w:val="space"/>
      <w:lvlText w:val="%1."/>
      <w:lvlJc w:val="left"/>
    </w:lvl>
  </w:abstractNum>
  <w:abstractNum w:abstractNumId="20">
    <w:nsid w:val="59DB8473"/>
    <w:multiLevelType w:val="singleLevel"/>
    <w:tmpl w:val="59DB8473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59DB849C"/>
    <w:multiLevelType w:val="singleLevel"/>
    <w:tmpl w:val="59DB849C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59DB84D9"/>
    <w:multiLevelType w:val="singleLevel"/>
    <w:tmpl w:val="59DB84D9"/>
    <w:lvl w:ilvl="0" w:tentative="0">
      <w:start w:val="1"/>
      <w:numFmt w:val="decimal"/>
      <w:suff w:val="space"/>
      <w:lvlText w:val="%1."/>
      <w:lvlJc w:val="left"/>
    </w:lvl>
  </w:abstractNum>
  <w:abstractNum w:abstractNumId="23">
    <w:nsid w:val="59DB855F"/>
    <w:multiLevelType w:val="singleLevel"/>
    <w:tmpl w:val="59DB855F"/>
    <w:lvl w:ilvl="0" w:tentative="0">
      <w:start w:val="1"/>
      <w:numFmt w:val="decimal"/>
      <w:suff w:val="space"/>
      <w:lvlText w:val="%1."/>
      <w:lvlJc w:val="left"/>
    </w:lvl>
  </w:abstractNum>
  <w:abstractNum w:abstractNumId="24">
    <w:nsid w:val="59DB85CB"/>
    <w:multiLevelType w:val="singleLevel"/>
    <w:tmpl w:val="59DB85CB"/>
    <w:lvl w:ilvl="0" w:tentative="0">
      <w:start w:val="1"/>
      <w:numFmt w:val="decimal"/>
      <w:suff w:val="space"/>
      <w:lvlText w:val="%1."/>
      <w:lvlJc w:val="left"/>
    </w:lvl>
  </w:abstractNum>
  <w:abstractNum w:abstractNumId="25">
    <w:nsid w:val="61606CE1"/>
    <w:multiLevelType w:val="multilevel"/>
    <w:tmpl w:val="61606CE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F4A6D"/>
    <w:multiLevelType w:val="multilevel"/>
    <w:tmpl w:val="77AF4A6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52875"/>
    <w:multiLevelType w:val="multilevel"/>
    <w:tmpl w:val="7B1528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27"/>
  </w:num>
  <w:num w:numId="5">
    <w:abstractNumId w:val="20"/>
  </w:num>
  <w:num w:numId="6">
    <w:abstractNumId w:val="7"/>
  </w:num>
  <w:num w:numId="7">
    <w:abstractNumId w:val="21"/>
  </w:num>
  <w:num w:numId="8">
    <w:abstractNumId w:val="13"/>
  </w:num>
  <w:num w:numId="9">
    <w:abstractNumId w:val="8"/>
  </w:num>
  <w:num w:numId="10">
    <w:abstractNumId w:val="18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25"/>
  </w:num>
  <w:num w:numId="17">
    <w:abstractNumId w:val="3"/>
  </w:num>
  <w:num w:numId="18">
    <w:abstractNumId w:val="19"/>
  </w:num>
  <w:num w:numId="19">
    <w:abstractNumId w:val="1"/>
  </w:num>
  <w:num w:numId="20">
    <w:abstractNumId w:val="22"/>
  </w:num>
  <w:num w:numId="21">
    <w:abstractNumId w:val="11"/>
  </w:num>
  <w:num w:numId="22">
    <w:abstractNumId w:val="23"/>
  </w:num>
  <w:num w:numId="23">
    <w:abstractNumId w:val="26"/>
  </w:num>
  <w:num w:numId="24">
    <w:abstractNumId w:val="24"/>
  </w:num>
  <w:num w:numId="25">
    <w:abstractNumId w:val="17"/>
  </w:num>
  <w:num w:numId="26">
    <w:abstractNumId w:val="4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5F9A"/>
    <w:rsid w:val="000233FD"/>
    <w:rsid w:val="00025109"/>
    <w:rsid w:val="00026237"/>
    <w:rsid w:val="00031E62"/>
    <w:rsid w:val="00044705"/>
    <w:rsid w:val="00044E70"/>
    <w:rsid w:val="00051E1C"/>
    <w:rsid w:val="00052C40"/>
    <w:rsid w:val="00064196"/>
    <w:rsid w:val="000662F5"/>
    <w:rsid w:val="00085B8A"/>
    <w:rsid w:val="000A7333"/>
    <w:rsid w:val="000B5247"/>
    <w:rsid w:val="000D440F"/>
    <w:rsid w:val="000D4EBF"/>
    <w:rsid w:val="000D5FD8"/>
    <w:rsid w:val="000D6379"/>
    <w:rsid w:val="000E5C8B"/>
    <w:rsid w:val="000F0A44"/>
    <w:rsid w:val="000F23D5"/>
    <w:rsid w:val="000F2BFF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4C06"/>
    <w:rsid w:val="001B0677"/>
    <w:rsid w:val="001C0DA9"/>
    <w:rsid w:val="001C19E3"/>
    <w:rsid w:val="001C723B"/>
    <w:rsid w:val="001D1186"/>
    <w:rsid w:val="001F5171"/>
    <w:rsid w:val="0020246E"/>
    <w:rsid w:val="00221C88"/>
    <w:rsid w:val="00223428"/>
    <w:rsid w:val="00224CA1"/>
    <w:rsid w:val="00226DEA"/>
    <w:rsid w:val="002405EF"/>
    <w:rsid w:val="00241B67"/>
    <w:rsid w:val="00244FD9"/>
    <w:rsid w:val="0024578F"/>
    <w:rsid w:val="00252420"/>
    <w:rsid w:val="0025532B"/>
    <w:rsid w:val="0025572C"/>
    <w:rsid w:val="00255829"/>
    <w:rsid w:val="00290BF2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4D0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7140E"/>
    <w:rsid w:val="00383122"/>
    <w:rsid w:val="00390BFC"/>
    <w:rsid w:val="003B19AD"/>
    <w:rsid w:val="003C3614"/>
    <w:rsid w:val="003D1292"/>
    <w:rsid w:val="003D4087"/>
    <w:rsid w:val="003E552B"/>
    <w:rsid w:val="003E7AEF"/>
    <w:rsid w:val="0040531E"/>
    <w:rsid w:val="00410BD6"/>
    <w:rsid w:val="0041137E"/>
    <w:rsid w:val="0041436A"/>
    <w:rsid w:val="00414764"/>
    <w:rsid w:val="00420D2D"/>
    <w:rsid w:val="00421436"/>
    <w:rsid w:val="0043703F"/>
    <w:rsid w:val="00440A72"/>
    <w:rsid w:val="00440FA7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489F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4728A"/>
    <w:rsid w:val="00556248"/>
    <w:rsid w:val="00556B19"/>
    <w:rsid w:val="00582EA6"/>
    <w:rsid w:val="00582FDB"/>
    <w:rsid w:val="00583802"/>
    <w:rsid w:val="0058687D"/>
    <w:rsid w:val="005975F7"/>
    <w:rsid w:val="005A2913"/>
    <w:rsid w:val="005A6FA0"/>
    <w:rsid w:val="005A7265"/>
    <w:rsid w:val="005B0B14"/>
    <w:rsid w:val="005B299A"/>
    <w:rsid w:val="005B7533"/>
    <w:rsid w:val="005C3E54"/>
    <w:rsid w:val="005D00F3"/>
    <w:rsid w:val="005D058F"/>
    <w:rsid w:val="005D7727"/>
    <w:rsid w:val="005D7A0E"/>
    <w:rsid w:val="005E286A"/>
    <w:rsid w:val="005E51A4"/>
    <w:rsid w:val="005F1CC7"/>
    <w:rsid w:val="00604810"/>
    <w:rsid w:val="0062393B"/>
    <w:rsid w:val="00631E79"/>
    <w:rsid w:val="00632D24"/>
    <w:rsid w:val="0063301F"/>
    <w:rsid w:val="00637AB9"/>
    <w:rsid w:val="006527A7"/>
    <w:rsid w:val="00652926"/>
    <w:rsid w:val="00660A6B"/>
    <w:rsid w:val="006645AD"/>
    <w:rsid w:val="006675EA"/>
    <w:rsid w:val="00667DA2"/>
    <w:rsid w:val="0067102A"/>
    <w:rsid w:val="0069316B"/>
    <w:rsid w:val="006A1504"/>
    <w:rsid w:val="006B237C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438A9"/>
    <w:rsid w:val="00754B97"/>
    <w:rsid w:val="007776D7"/>
    <w:rsid w:val="00790AC1"/>
    <w:rsid w:val="00794046"/>
    <w:rsid w:val="00795559"/>
    <w:rsid w:val="007B1634"/>
    <w:rsid w:val="007B412E"/>
    <w:rsid w:val="007C1696"/>
    <w:rsid w:val="007D1EDB"/>
    <w:rsid w:val="007D78D1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915DC"/>
    <w:rsid w:val="008A4BE2"/>
    <w:rsid w:val="008B2BC7"/>
    <w:rsid w:val="008C1268"/>
    <w:rsid w:val="008D1B35"/>
    <w:rsid w:val="008D261B"/>
    <w:rsid w:val="008F5B25"/>
    <w:rsid w:val="009100FA"/>
    <w:rsid w:val="00910BA4"/>
    <w:rsid w:val="00917567"/>
    <w:rsid w:val="00921E9F"/>
    <w:rsid w:val="00933436"/>
    <w:rsid w:val="009407A9"/>
    <w:rsid w:val="00960B77"/>
    <w:rsid w:val="00980DE9"/>
    <w:rsid w:val="00981EEA"/>
    <w:rsid w:val="00986C7C"/>
    <w:rsid w:val="009A3645"/>
    <w:rsid w:val="009A6837"/>
    <w:rsid w:val="009B2A43"/>
    <w:rsid w:val="009B2F7A"/>
    <w:rsid w:val="009B5B3E"/>
    <w:rsid w:val="009C1BEA"/>
    <w:rsid w:val="009E1771"/>
    <w:rsid w:val="009E3A82"/>
    <w:rsid w:val="00A10270"/>
    <w:rsid w:val="00A12864"/>
    <w:rsid w:val="00A17DA6"/>
    <w:rsid w:val="00A21758"/>
    <w:rsid w:val="00A2553C"/>
    <w:rsid w:val="00A270D3"/>
    <w:rsid w:val="00A57C66"/>
    <w:rsid w:val="00A618DB"/>
    <w:rsid w:val="00A7226F"/>
    <w:rsid w:val="00A73361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14779"/>
    <w:rsid w:val="00B17514"/>
    <w:rsid w:val="00B2035E"/>
    <w:rsid w:val="00B21752"/>
    <w:rsid w:val="00B21DD5"/>
    <w:rsid w:val="00B2418B"/>
    <w:rsid w:val="00B41547"/>
    <w:rsid w:val="00B43FEB"/>
    <w:rsid w:val="00B53B0D"/>
    <w:rsid w:val="00B57FC4"/>
    <w:rsid w:val="00B7605E"/>
    <w:rsid w:val="00B850B6"/>
    <w:rsid w:val="00B90F59"/>
    <w:rsid w:val="00B9223F"/>
    <w:rsid w:val="00B97739"/>
    <w:rsid w:val="00BA0BE6"/>
    <w:rsid w:val="00BC4B0C"/>
    <w:rsid w:val="00BC638D"/>
    <w:rsid w:val="00BC77AB"/>
    <w:rsid w:val="00BF789F"/>
    <w:rsid w:val="00C07491"/>
    <w:rsid w:val="00C0768D"/>
    <w:rsid w:val="00C11027"/>
    <w:rsid w:val="00C11AF7"/>
    <w:rsid w:val="00C20CF2"/>
    <w:rsid w:val="00C27181"/>
    <w:rsid w:val="00C435EF"/>
    <w:rsid w:val="00C44407"/>
    <w:rsid w:val="00C45516"/>
    <w:rsid w:val="00C47C63"/>
    <w:rsid w:val="00C52CA9"/>
    <w:rsid w:val="00C55C33"/>
    <w:rsid w:val="00C657F1"/>
    <w:rsid w:val="00C93FD9"/>
    <w:rsid w:val="00CA10E2"/>
    <w:rsid w:val="00CA1106"/>
    <w:rsid w:val="00CC1A57"/>
    <w:rsid w:val="00CC27AC"/>
    <w:rsid w:val="00D0737F"/>
    <w:rsid w:val="00D07F30"/>
    <w:rsid w:val="00D27FB1"/>
    <w:rsid w:val="00D36B1E"/>
    <w:rsid w:val="00D5401F"/>
    <w:rsid w:val="00D6191B"/>
    <w:rsid w:val="00D621EE"/>
    <w:rsid w:val="00D63DB3"/>
    <w:rsid w:val="00D96C5F"/>
    <w:rsid w:val="00DA1D5A"/>
    <w:rsid w:val="00DA3E29"/>
    <w:rsid w:val="00DC1D14"/>
    <w:rsid w:val="00DD0EA4"/>
    <w:rsid w:val="00DD28BB"/>
    <w:rsid w:val="00DE2A4F"/>
    <w:rsid w:val="00DE4BC1"/>
    <w:rsid w:val="00DE5736"/>
    <w:rsid w:val="00DE5D82"/>
    <w:rsid w:val="00DF57A5"/>
    <w:rsid w:val="00DF7FEA"/>
    <w:rsid w:val="00E074C7"/>
    <w:rsid w:val="00E2561D"/>
    <w:rsid w:val="00E3016A"/>
    <w:rsid w:val="00E307DE"/>
    <w:rsid w:val="00E35178"/>
    <w:rsid w:val="00E43F65"/>
    <w:rsid w:val="00E44F99"/>
    <w:rsid w:val="00E55E37"/>
    <w:rsid w:val="00E60B01"/>
    <w:rsid w:val="00E655A3"/>
    <w:rsid w:val="00E670FD"/>
    <w:rsid w:val="00E759E5"/>
    <w:rsid w:val="00E80FB4"/>
    <w:rsid w:val="00E81F4C"/>
    <w:rsid w:val="00EA0F89"/>
    <w:rsid w:val="00EA4970"/>
    <w:rsid w:val="00EB1771"/>
    <w:rsid w:val="00EC1118"/>
    <w:rsid w:val="00ED1CD4"/>
    <w:rsid w:val="00ED3DB0"/>
    <w:rsid w:val="00EF0936"/>
    <w:rsid w:val="00EF1118"/>
    <w:rsid w:val="00EF3A37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2200"/>
    <w:rsid w:val="00FD35B3"/>
    <w:rsid w:val="00FD41FD"/>
    <w:rsid w:val="00FE1345"/>
    <w:rsid w:val="00FE15D2"/>
    <w:rsid w:val="00FF1045"/>
    <w:rsid w:val="00FF774B"/>
    <w:rsid w:val="02446693"/>
    <w:rsid w:val="034E5A4D"/>
    <w:rsid w:val="041C1664"/>
    <w:rsid w:val="051E6C67"/>
    <w:rsid w:val="05CF09C5"/>
    <w:rsid w:val="078F4F07"/>
    <w:rsid w:val="07F41689"/>
    <w:rsid w:val="094A3A30"/>
    <w:rsid w:val="0C86490B"/>
    <w:rsid w:val="0C882A21"/>
    <w:rsid w:val="0D0266F3"/>
    <w:rsid w:val="0F8D49CA"/>
    <w:rsid w:val="0FF46E86"/>
    <w:rsid w:val="13BB3F75"/>
    <w:rsid w:val="13E12396"/>
    <w:rsid w:val="14652E48"/>
    <w:rsid w:val="16647FA0"/>
    <w:rsid w:val="167D4BF8"/>
    <w:rsid w:val="17860F06"/>
    <w:rsid w:val="17FA5764"/>
    <w:rsid w:val="19153C3D"/>
    <w:rsid w:val="193A3698"/>
    <w:rsid w:val="19523568"/>
    <w:rsid w:val="1A8750DA"/>
    <w:rsid w:val="1D296D1E"/>
    <w:rsid w:val="1F731D4F"/>
    <w:rsid w:val="1FBC153A"/>
    <w:rsid w:val="2133695D"/>
    <w:rsid w:val="21395BFA"/>
    <w:rsid w:val="217901B4"/>
    <w:rsid w:val="21AF5D8F"/>
    <w:rsid w:val="2293532C"/>
    <w:rsid w:val="233574BF"/>
    <w:rsid w:val="23C075CF"/>
    <w:rsid w:val="27892842"/>
    <w:rsid w:val="29EF3271"/>
    <w:rsid w:val="2B6A591E"/>
    <w:rsid w:val="2BF24D36"/>
    <w:rsid w:val="2C260A0E"/>
    <w:rsid w:val="2C6E5FD7"/>
    <w:rsid w:val="2CF15774"/>
    <w:rsid w:val="328A2D22"/>
    <w:rsid w:val="32B67903"/>
    <w:rsid w:val="3570442A"/>
    <w:rsid w:val="3E6B0C3A"/>
    <w:rsid w:val="3FC17E19"/>
    <w:rsid w:val="3FF92092"/>
    <w:rsid w:val="403C3397"/>
    <w:rsid w:val="40E67BFA"/>
    <w:rsid w:val="41AA20ED"/>
    <w:rsid w:val="462D5294"/>
    <w:rsid w:val="46830C07"/>
    <w:rsid w:val="46B92CB6"/>
    <w:rsid w:val="479546F8"/>
    <w:rsid w:val="47DC2780"/>
    <w:rsid w:val="4B117A78"/>
    <w:rsid w:val="4B467777"/>
    <w:rsid w:val="4B78201A"/>
    <w:rsid w:val="4B9F5B8D"/>
    <w:rsid w:val="4C45611A"/>
    <w:rsid w:val="4EFD48C9"/>
    <w:rsid w:val="52724044"/>
    <w:rsid w:val="52935FEC"/>
    <w:rsid w:val="56FC6AFE"/>
    <w:rsid w:val="58012D21"/>
    <w:rsid w:val="59AD572C"/>
    <w:rsid w:val="5A7A1674"/>
    <w:rsid w:val="5E4F0A51"/>
    <w:rsid w:val="5E9B5295"/>
    <w:rsid w:val="5EF062D5"/>
    <w:rsid w:val="5F366EE3"/>
    <w:rsid w:val="60141DB4"/>
    <w:rsid w:val="60360DD3"/>
    <w:rsid w:val="61214B38"/>
    <w:rsid w:val="61975A0D"/>
    <w:rsid w:val="625953E8"/>
    <w:rsid w:val="628216F7"/>
    <w:rsid w:val="63B954A0"/>
    <w:rsid w:val="648F230E"/>
    <w:rsid w:val="67BA5033"/>
    <w:rsid w:val="68472BFC"/>
    <w:rsid w:val="694331E4"/>
    <w:rsid w:val="69DB6544"/>
    <w:rsid w:val="69FF0FDF"/>
    <w:rsid w:val="6A3C0AEC"/>
    <w:rsid w:val="6A6A679F"/>
    <w:rsid w:val="6C2717D7"/>
    <w:rsid w:val="6CA82CC7"/>
    <w:rsid w:val="6CB92192"/>
    <w:rsid w:val="6F576552"/>
    <w:rsid w:val="6F847E06"/>
    <w:rsid w:val="6FFF7915"/>
    <w:rsid w:val="749F4C57"/>
    <w:rsid w:val="77F60801"/>
    <w:rsid w:val="7866487C"/>
    <w:rsid w:val="788B3D90"/>
    <w:rsid w:val="79E33B48"/>
    <w:rsid w:val="7CD94FCD"/>
    <w:rsid w:val="7CDE1986"/>
    <w:rsid w:val="7F2C08BD"/>
    <w:rsid w:val="7FAA3224"/>
    <w:rsid w:val="7FC062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iPriority w:val="0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qFormat/>
    <w:uiPriority w:val="99"/>
    <w:pPr>
      <w:tabs>
        <w:tab w:val="center" w:pos="4513"/>
        <w:tab w:val="right" w:pos="9026"/>
      </w:tabs>
    </w:pPr>
  </w:style>
  <w:style w:type="paragraph" w:styleId="4">
    <w:name w:val="header"/>
    <w:basedOn w:val="1"/>
    <w:link w:val="11"/>
    <w:uiPriority w:val="0"/>
    <w:pPr>
      <w:tabs>
        <w:tab w:val="center" w:pos="4513"/>
        <w:tab w:val="right" w:pos="9026"/>
      </w:tabs>
    </w:pPr>
  </w:style>
  <w:style w:type="character" w:styleId="6">
    <w:name w:val="Hyperlink"/>
    <w:basedOn w:val="5"/>
    <w:uiPriority w:val="0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autoSpaceDE w:val="0"/>
      <w:autoSpaceDN w:val="0"/>
      <w:adjustRightInd w:val="0"/>
    </w:pPr>
    <w:rPr>
      <w:rFonts w:ascii="Bookman Old Style" w:hAnsi="Bookman Old Style" w:eastAsia="Times New Roman" w:cs="Bookman Old Style"/>
      <w:color w:val="000000"/>
      <w:sz w:val="24"/>
      <w:szCs w:val="24"/>
      <w:lang w:val="en-US" w:eastAsia="en-US" w:bidi="ar-SA"/>
    </w:rPr>
  </w:style>
  <w:style w:type="paragraph" w:customStyle="1" w:styleId="10">
    <w:name w:val="_Style 9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customStyle="1" w:styleId="11">
    <w:name w:val="Header Char"/>
    <w:basedOn w:val="5"/>
    <w:link w:val="4"/>
    <w:qFormat/>
    <w:uiPriority w:val="0"/>
    <w:rPr>
      <w:sz w:val="24"/>
      <w:szCs w:val="24"/>
      <w:lang w:val="en-US" w:eastAsia="en-US"/>
    </w:rPr>
  </w:style>
  <w:style w:type="character" w:customStyle="1" w:styleId="12">
    <w:name w:val="Footer Char"/>
    <w:basedOn w:val="5"/>
    <w:link w:val="3"/>
    <w:qFormat/>
    <w:uiPriority w:val="99"/>
    <w:rPr>
      <w:sz w:val="24"/>
      <w:szCs w:val="24"/>
      <w:lang w:val="en-US" w:eastAsia="en-US"/>
    </w:rPr>
  </w:style>
  <w:style w:type="character" w:customStyle="1" w:styleId="13">
    <w:name w:val="Balloon Text Char"/>
    <w:basedOn w:val="5"/>
    <w:link w:val="2"/>
    <w:qFormat/>
    <w:uiPriority w:val="0"/>
    <w:rPr>
      <w:rFonts w:ascii="Tahoma" w:hAnsi="Tahoma" w:cs="Tahoma"/>
      <w:sz w:val="16"/>
      <w:szCs w:val="1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UNIVERSITAS INDONUSA</Company>
  <Pages>13</Pages>
  <Words>3458</Words>
  <Characters>19715</Characters>
  <Lines>164</Lines>
  <Paragraphs>46</Paragraphs>
  <ScaleCrop>false</ScaleCrop>
  <LinksUpToDate>false</LinksUpToDate>
  <CharactersWithSpaces>23127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2017-09-07T03:24:00Z</dcterms:created>
  <dc:creator>INDONUSA</dc:creator>
  <cp:lastModifiedBy>Ken Martina</cp:lastModifiedBy>
  <cp:lastPrinted>2016-10-21T01:30:00Z</cp:lastPrinted>
  <dcterms:modified xsi:type="dcterms:W3CDTF">2017-10-09T14:50:10Z</dcterms:modified>
  <dc:title>GARIS BESAR PROGRAM PENGAJARAN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